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339"/>
        <w:gridCol w:w="96"/>
        <w:gridCol w:w="387"/>
        <w:gridCol w:w="1003"/>
        <w:gridCol w:w="607"/>
        <w:gridCol w:w="799"/>
        <w:gridCol w:w="456"/>
        <w:gridCol w:w="935"/>
        <w:gridCol w:w="1400"/>
        <w:gridCol w:w="88"/>
        <w:gridCol w:w="141"/>
        <w:gridCol w:w="601"/>
        <w:gridCol w:w="561"/>
        <w:gridCol w:w="1533"/>
      </w:tblGrid>
      <w:tr w:rsidR="00990026" w14:paraId="48F4D4E0" w14:textId="77777777" w:rsidTr="004B17C7">
        <w:tc>
          <w:tcPr>
            <w:tcW w:w="18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4DE" w14:textId="77777777" w:rsidR="00990026" w:rsidRPr="00CD1B75" w:rsidRDefault="00CB55C8">
            <w:pPr>
              <w:rPr>
                <w:rFonts w:cs="Cordia New"/>
                <w:b/>
                <w:sz w:val="20"/>
                <w:szCs w:val="20"/>
              </w:rPr>
            </w:pPr>
            <w:r w:rsidRPr="00CD1B75">
              <w:rPr>
                <w:rFonts w:cs="Cordia New"/>
                <w:b/>
                <w:sz w:val="20"/>
                <w:szCs w:val="20"/>
              </w:rPr>
              <w:t>MISURA / AZIONE PSL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0823D0" w14:textId="084FA467" w:rsidR="00C40984" w:rsidRPr="00C40984" w:rsidRDefault="00CB55C8" w:rsidP="00C40984">
            <w:pPr>
              <w:jc w:val="center"/>
              <w:rPr>
                <w:rFonts w:cs="Cordia New"/>
                <w:b/>
                <w:color w:val="FF0000"/>
                <w:sz w:val="22"/>
                <w:szCs w:val="22"/>
              </w:rPr>
            </w:pPr>
            <w:r w:rsidRPr="00C40984">
              <w:rPr>
                <w:rFonts w:cs="Cordia New"/>
                <w:b/>
                <w:color w:val="FF0000"/>
                <w:sz w:val="22"/>
                <w:szCs w:val="22"/>
              </w:rPr>
              <w:t>N°</w:t>
            </w:r>
            <w:r w:rsidR="00C40984" w:rsidRPr="00C40984">
              <w:rPr>
                <w:rFonts w:cs="Cordia New"/>
                <w:b/>
                <w:color w:val="FF0000"/>
                <w:sz w:val="22"/>
                <w:szCs w:val="22"/>
              </w:rPr>
              <w:t>7</w:t>
            </w:r>
          </w:p>
          <w:p w14:paraId="48F4D4DF" w14:textId="2AE6792C" w:rsidR="00990026" w:rsidRPr="00C40984" w:rsidRDefault="00C40984" w:rsidP="00C40984">
            <w:pPr>
              <w:jc w:val="center"/>
              <w:rPr>
                <w:rFonts w:cs="Cordia New"/>
                <w:b/>
                <w:sz w:val="22"/>
                <w:szCs w:val="22"/>
              </w:rPr>
            </w:pPr>
            <w:r w:rsidRPr="00C40984">
              <w:rPr>
                <w:rFonts w:cs="Cordia New"/>
                <w:b/>
                <w:color w:val="FF0000"/>
                <w:sz w:val="22"/>
                <w:szCs w:val="22"/>
              </w:rPr>
              <w:t>POZZE D’ABBEVERATA</w:t>
            </w:r>
            <w:r w:rsidR="00CB55C8" w:rsidRPr="00C40984">
              <w:rPr>
                <w:rFonts w:cs="Cordia New"/>
                <w:b/>
                <w:sz w:val="22"/>
                <w:szCs w:val="22"/>
              </w:rPr>
              <w:t xml:space="preserve"> </w:t>
            </w:r>
          </w:p>
        </w:tc>
      </w:tr>
      <w:tr w:rsidR="00990026" w14:paraId="48F4D4E3" w14:textId="77777777" w:rsidTr="004B17C7">
        <w:tc>
          <w:tcPr>
            <w:tcW w:w="18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4E1" w14:textId="77777777" w:rsidR="00990026" w:rsidRPr="00CD1B75" w:rsidRDefault="00CB55C8">
            <w:pPr>
              <w:rPr>
                <w:rFonts w:cs="Cordia New"/>
                <w:b/>
                <w:sz w:val="20"/>
                <w:szCs w:val="20"/>
              </w:rPr>
            </w:pPr>
            <w:r w:rsidRPr="00CD1B75">
              <w:rPr>
                <w:rFonts w:cs="Cordia New"/>
                <w:b/>
                <w:sz w:val="20"/>
                <w:szCs w:val="20"/>
              </w:rPr>
              <w:t>OPERAZIONE PSR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4E2" w14:textId="5A9ED8D1" w:rsidR="00990026" w:rsidRPr="00C40984" w:rsidRDefault="00CB55C8" w:rsidP="00C40984">
            <w:pPr>
              <w:jc w:val="center"/>
              <w:rPr>
                <w:rFonts w:cs="Cordia New"/>
                <w:b/>
                <w:sz w:val="22"/>
                <w:szCs w:val="22"/>
              </w:rPr>
            </w:pPr>
            <w:r w:rsidRPr="00C40984">
              <w:rPr>
                <w:rFonts w:cs="Cordia New"/>
                <w:b/>
                <w:sz w:val="22"/>
                <w:szCs w:val="22"/>
              </w:rPr>
              <w:t>4.4.02 – Investimenti non produttivi finalizzati prioritariamente alla migliore gestione delle risorse idriche</w:t>
            </w:r>
          </w:p>
        </w:tc>
      </w:tr>
      <w:tr w:rsidR="00990026" w14:paraId="48F4D4E6" w14:textId="77777777" w:rsidTr="004B17C7">
        <w:tc>
          <w:tcPr>
            <w:tcW w:w="18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4E4" w14:textId="77777777" w:rsidR="00990026" w:rsidRPr="00CD1B75" w:rsidRDefault="00CB55C8">
            <w:pPr>
              <w:rPr>
                <w:rFonts w:cs="Cordia New"/>
                <w:b/>
                <w:sz w:val="20"/>
                <w:szCs w:val="20"/>
              </w:rPr>
            </w:pPr>
            <w:r w:rsidRPr="00CD1B75">
              <w:rPr>
                <w:rFonts w:cs="Cordia New"/>
                <w:b/>
                <w:sz w:val="20"/>
                <w:szCs w:val="20"/>
              </w:rPr>
              <w:t xml:space="preserve">TIPOLOGIA AZIONE 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4E5" w14:textId="2EFE3C80" w:rsidR="00990026" w:rsidRPr="00C40984" w:rsidRDefault="00A040BB" w:rsidP="00C40984">
            <w:pPr>
              <w:jc w:val="center"/>
              <w:rPr>
                <w:rFonts w:cs="Cordia New"/>
                <w:b/>
                <w:color w:val="FF0000"/>
                <w:sz w:val="22"/>
                <w:szCs w:val="22"/>
              </w:rPr>
            </w:pPr>
            <w:r>
              <w:rPr>
                <w:rFonts w:cs="Cordia New"/>
                <w:b/>
                <w:color w:val="FF0000"/>
                <w:sz w:val="22"/>
                <w:szCs w:val="22"/>
              </w:rPr>
              <w:t>B</w:t>
            </w:r>
          </w:p>
        </w:tc>
      </w:tr>
      <w:tr w:rsidR="00A521EA" w:rsidRPr="00A521EA" w14:paraId="48F4D4E9" w14:textId="77777777" w:rsidTr="004B17C7">
        <w:tc>
          <w:tcPr>
            <w:tcW w:w="18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4E7" w14:textId="77777777" w:rsidR="00990026" w:rsidRPr="00A521EA" w:rsidRDefault="00CB55C8">
            <w:pPr>
              <w:rPr>
                <w:rFonts w:cs="Cordia New"/>
                <w:b/>
                <w:sz w:val="20"/>
                <w:szCs w:val="20"/>
              </w:rPr>
            </w:pPr>
            <w:r w:rsidRPr="00A521EA">
              <w:rPr>
                <w:rFonts w:cs="Cordia New"/>
                <w:b/>
                <w:sz w:val="20"/>
                <w:szCs w:val="20"/>
              </w:rPr>
              <w:t>OBIETTIVO MISURA / AZIONE PSL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4E8" w14:textId="47FDBDE4" w:rsidR="00990026" w:rsidRPr="00A521EA" w:rsidRDefault="00C40984" w:rsidP="001425AA">
            <w:pPr>
              <w:jc w:val="both"/>
              <w:rPr>
                <w:rFonts w:cs="Cordia New"/>
                <w:i/>
                <w:sz w:val="20"/>
                <w:szCs w:val="20"/>
              </w:rPr>
            </w:pPr>
            <w:r w:rsidRPr="00A521EA">
              <w:rPr>
                <w:sz w:val="20"/>
                <w:szCs w:val="20"/>
              </w:rPr>
              <w:t>La mancanza di acqua in superficie è un limite caratteristico de</w:t>
            </w:r>
            <w:r w:rsidR="00C031BB" w:rsidRPr="00A521EA">
              <w:rPr>
                <w:sz w:val="20"/>
                <w:szCs w:val="20"/>
              </w:rPr>
              <w:t xml:space="preserve">lle aree </w:t>
            </w:r>
            <w:r w:rsidRPr="00A521EA">
              <w:rPr>
                <w:sz w:val="20"/>
                <w:szCs w:val="20"/>
              </w:rPr>
              <w:t>i</w:t>
            </w:r>
            <w:r w:rsidR="00C031BB" w:rsidRPr="00A521EA">
              <w:rPr>
                <w:sz w:val="20"/>
                <w:szCs w:val="20"/>
              </w:rPr>
              <w:t>n quota poste</w:t>
            </w:r>
            <w:r w:rsidRPr="00A521EA">
              <w:rPr>
                <w:sz w:val="20"/>
                <w:szCs w:val="20"/>
              </w:rPr>
              <w:t xml:space="preserve"> su substrati calcarei o dolomitici che nella zona si ritrovano in comparti quali Val Mora-Monte Secco, Timogno-Vigna Vaga-Presolana, Scanapà-Pora e Formico-Monte di Sovere. Questa peculiarità obbliga a realizzare pozze per l’accumulo dell’acqua piovana, senza le quali ampie aree </w:t>
            </w:r>
            <w:r w:rsidR="00C031BB" w:rsidRPr="00A521EA">
              <w:rPr>
                <w:sz w:val="20"/>
                <w:szCs w:val="20"/>
              </w:rPr>
              <w:t xml:space="preserve">non potrebbero garantire adeguate condizioni di vita alla fauna che le popola e </w:t>
            </w:r>
            <w:r w:rsidR="002F20CF" w:rsidRPr="00A521EA">
              <w:rPr>
                <w:sz w:val="20"/>
                <w:szCs w:val="20"/>
              </w:rPr>
              <w:t>non potrebbero ospitare le diverse</w:t>
            </w:r>
            <w:r w:rsidR="00C031BB" w:rsidRPr="00A521EA">
              <w:rPr>
                <w:sz w:val="20"/>
                <w:szCs w:val="20"/>
              </w:rPr>
              <w:t xml:space="preserve"> </w:t>
            </w:r>
            <w:r w:rsidRPr="00A521EA">
              <w:rPr>
                <w:sz w:val="20"/>
                <w:szCs w:val="20"/>
              </w:rPr>
              <w:t xml:space="preserve">associazioni floristiche </w:t>
            </w:r>
            <w:r w:rsidR="00C71EAE" w:rsidRPr="00A521EA">
              <w:rPr>
                <w:sz w:val="20"/>
                <w:szCs w:val="20"/>
              </w:rPr>
              <w:t xml:space="preserve">che formano </w:t>
            </w:r>
            <w:r w:rsidRPr="00A521EA">
              <w:rPr>
                <w:sz w:val="20"/>
                <w:szCs w:val="20"/>
              </w:rPr>
              <w:t>habitat caratteri</w:t>
            </w:r>
            <w:r w:rsidR="00C71EAE" w:rsidRPr="00A521EA">
              <w:rPr>
                <w:sz w:val="20"/>
                <w:szCs w:val="20"/>
              </w:rPr>
              <w:t xml:space="preserve">stici </w:t>
            </w:r>
            <w:r w:rsidRPr="00A521EA">
              <w:rPr>
                <w:sz w:val="20"/>
                <w:szCs w:val="20"/>
              </w:rPr>
              <w:t xml:space="preserve"> </w:t>
            </w:r>
            <w:r w:rsidR="002F20CF" w:rsidRPr="00A521EA">
              <w:rPr>
                <w:sz w:val="20"/>
                <w:szCs w:val="20"/>
              </w:rPr>
              <w:t xml:space="preserve">e di particolare interesse naturalistico </w:t>
            </w:r>
            <w:r w:rsidRPr="00A521EA">
              <w:rPr>
                <w:sz w:val="20"/>
                <w:szCs w:val="20"/>
              </w:rPr>
              <w:t xml:space="preserve">riconosciuti all’interno della rete Natura 2000. </w:t>
            </w:r>
            <w:r w:rsidR="00C71EAE" w:rsidRPr="00A521EA">
              <w:rPr>
                <w:sz w:val="20"/>
                <w:szCs w:val="20"/>
              </w:rPr>
              <w:t xml:space="preserve">In particolare si rileva come </w:t>
            </w:r>
            <w:r w:rsidRPr="00A521EA">
              <w:rPr>
                <w:sz w:val="20"/>
                <w:szCs w:val="20"/>
              </w:rPr>
              <w:t>le pozze di</w:t>
            </w:r>
            <w:r w:rsidR="00C71EAE" w:rsidRPr="00A521EA">
              <w:rPr>
                <w:sz w:val="20"/>
                <w:szCs w:val="20"/>
              </w:rPr>
              <w:t xml:space="preserve"> </w:t>
            </w:r>
            <w:r w:rsidR="002F20CF" w:rsidRPr="00A521EA">
              <w:rPr>
                <w:sz w:val="20"/>
                <w:szCs w:val="20"/>
              </w:rPr>
              <w:t xml:space="preserve">accumulo dell’acqua </w:t>
            </w:r>
            <w:r w:rsidR="00C71EAE" w:rsidRPr="00A521EA">
              <w:rPr>
                <w:sz w:val="20"/>
                <w:szCs w:val="20"/>
              </w:rPr>
              <w:t>ospiti</w:t>
            </w:r>
            <w:r w:rsidRPr="00A521EA">
              <w:rPr>
                <w:sz w:val="20"/>
                <w:szCs w:val="20"/>
              </w:rPr>
              <w:t>no specie anfibi</w:t>
            </w:r>
            <w:r w:rsidR="002F20CF" w:rsidRPr="00A521EA">
              <w:rPr>
                <w:sz w:val="20"/>
                <w:szCs w:val="20"/>
              </w:rPr>
              <w:t>e</w:t>
            </w:r>
            <w:r w:rsidRPr="00A521EA">
              <w:rPr>
                <w:sz w:val="20"/>
                <w:szCs w:val="20"/>
              </w:rPr>
              <w:t xml:space="preserve"> per alcune fasi del loro sviluppo, che </w:t>
            </w:r>
            <w:r w:rsidR="002F20CF" w:rsidRPr="00A521EA">
              <w:rPr>
                <w:sz w:val="20"/>
                <w:szCs w:val="20"/>
              </w:rPr>
              <w:t xml:space="preserve">rilevano sotto il profilo ecologico-naturalisitico e che </w:t>
            </w:r>
            <w:r w:rsidRPr="00A521EA">
              <w:rPr>
                <w:sz w:val="20"/>
                <w:szCs w:val="20"/>
              </w:rPr>
              <w:t xml:space="preserve">sono oggetto di attenzione da parte del Parco delle Orobie Bergamasche, soprattutto per l’eccezionalità delle quote a cui queste fasi riproduttive avvengono. </w:t>
            </w:r>
          </w:p>
        </w:tc>
      </w:tr>
      <w:tr w:rsidR="00A521EA" w:rsidRPr="00A521EA" w14:paraId="48F4D4EC" w14:textId="77777777" w:rsidTr="004B17C7">
        <w:tc>
          <w:tcPr>
            <w:tcW w:w="18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4EA" w14:textId="77777777" w:rsidR="00990026" w:rsidRPr="00A521EA" w:rsidRDefault="00CB55C8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A521EA">
              <w:rPr>
                <w:rFonts w:cs="Cordia New"/>
                <w:b/>
                <w:caps/>
                <w:sz w:val="20"/>
                <w:szCs w:val="20"/>
              </w:rPr>
              <w:t>Interventi previsti nelLA MISURA / AZIONE DEL PSL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4EB" w14:textId="649C4F03" w:rsidR="00990026" w:rsidRPr="00A521EA" w:rsidRDefault="001425AA" w:rsidP="001425AA">
            <w:pPr>
              <w:jc w:val="both"/>
              <w:rPr>
                <w:sz w:val="20"/>
                <w:szCs w:val="20"/>
              </w:rPr>
            </w:pPr>
            <w:r w:rsidRPr="00A521EA">
              <w:rPr>
                <w:sz w:val="20"/>
                <w:szCs w:val="20"/>
              </w:rPr>
              <w:t>La misura finanzia la realizza</w:t>
            </w:r>
            <w:r w:rsidR="00290357" w:rsidRPr="00A521EA">
              <w:rPr>
                <w:sz w:val="20"/>
                <w:szCs w:val="20"/>
              </w:rPr>
              <w:t>zione</w:t>
            </w:r>
            <w:r w:rsidRPr="00A521EA">
              <w:rPr>
                <w:sz w:val="20"/>
                <w:szCs w:val="20"/>
              </w:rPr>
              <w:t xml:space="preserve"> e il ripristino/miglioramento delle pozze di abbeverata a servizio dei pascoli al fine di garantirne una migliore gestione, il recupero delle porzioni abbandonate o sottoutilizzate con ricadute dirette sulla conservazione di habitat e la salvaguardia e la diffusione di specie di anfibi.</w:t>
            </w:r>
          </w:p>
        </w:tc>
      </w:tr>
      <w:tr w:rsidR="00A521EA" w:rsidRPr="00A521EA" w14:paraId="48F4D4F0" w14:textId="77777777" w:rsidTr="004B17C7">
        <w:tc>
          <w:tcPr>
            <w:tcW w:w="18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4ED" w14:textId="77777777" w:rsidR="00990026" w:rsidRPr="00A521EA" w:rsidRDefault="00CB55C8">
            <w:pPr>
              <w:rPr>
                <w:rFonts w:cs="Cordia New"/>
                <w:b/>
                <w:sz w:val="20"/>
                <w:szCs w:val="20"/>
              </w:rPr>
            </w:pPr>
            <w:r w:rsidRPr="00A521EA">
              <w:rPr>
                <w:rFonts w:cs="Cordia New"/>
                <w:b/>
                <w:sz w:val="20"/>
                <w:szCs w:val="20"/>
              </w:rPr>
              <w:t>TIPO DI SOSTEGNO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4EE" w14:textId="77777777" w:rsidR="00990026" w:rsidRPr="00A521EA" w:rsidRDefault="00CB55C8">
            <w:pPr>
              <w:jc w:val="both"/>
              <w:rPr>
                <w:rFonts w:cs="Cordia New"/>
                <w:sz w:val="20"/>
                <w:szCs w:val="20"/>
              </w:rPr>
            </w:pPr>
            <w:r w:rsidRPr="00A521EA">
              <w:rPr>
                <w:rFonts w:cs="Cordia New"/>
                <w:sz w:val="20"/>
                <w:szCs w:val="20"/>
              </w:rPr>
              <w:t xml:space="preserve">L’aiuto è concesso sotto forma di contributo in conto capitale. </w:t>
            </w:r>
          </w:p>
          <w:p w14:paraId="48F4D4EF" w14:textId="77777777" w:rsidR="00990026" w:rsidRPr="00A521EA" w:rsidRDefault="00CB55C8">
            <w:pPr>
              <w:jc w:val="both"/>
              <w:rPr>
                <w:rFonts w:cs="Cordia New"/>
                <w:sz w:val="20"/>
                <w:szCs w:val="20"/>
              </w:rPr>
            </w:pPr>
            <w:r w:rsidRPr="00A521EA">
              <w:rPr>
                <w:rFonts w:cs="Cordia New"/>
                <w:sz w:val="20"/>
                <w:szCs w:val="20"/>
              </w:rPr>
              <w:t xml:space="preserve">E’ possibile il versamento al beneficiario di un anticipo con le modalità disposte dal paragrafo 4 dell’articolo 45 del Regolamento (UE) n. 1305/2013. Pertanto, per gli investimenti ammessi a finanziamento, l’importo dell’anticipo è pari al 50% del contributo concesso. </w:t>
            </w:r>
          </w:p>
        </w:tc>
      </w:tr>
      <w:tr w:rsidR="00A521EA" w:rsidRPr="00A521EA" w14:paraId="48F4D4F4" w14:textId="77777777" w:rsidTr="004B17C7">
        <w:tc>
          <w:tcPr>
            <w:tcW w:w="18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4F1" w14:textId="77777777" w:rsidR="00990026" w:rsidRPr="00A521EA" w:rsidRDefault="00CB55C8">
            <w:pPr>
              <w:rPr>
                <w:rFonts w:cs="Cordia New"/>
                <w:b/>
                <w:sz w:val="20"/>
                <w:szCs w:val="20"/>
              </w:rPr>
            </w:pPr>
            <w:r w:rsidRPr="00A521EA">
              <w:rPr>
                <w:rFonts w:cs="Cordia New"/>
                <w:b/>
                <w:sz w:val="20"/>
                <w:szCs w:val="20"/>
              </w:rPr>
              <w:t>BENEFICIARI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4F2" w14:textId="77777777" w:rsidR="00990026" w:rsidRPr="00A521EA" w:rsidRDefault="00CB55C8">
            <w:pPr>
              <w:jc w:val="both"/>
              <w:rPr>
                <w:rFonts w:cs="Cordia New"/>
                <w:sz w:val="20"/>
                <w:szCs w:val="20"/>
              </w:rPr>
            </w:pPr>
            <w:r w:rsidRPr="00A521EA">
              <w:rPr>
                <w:rFonts w:cs="Cordia New"/>
                <w:sz w:val="20"/>
                <w:szCs w:val="20"/>
              </w:rPr>
              <w:t xml:space="preserve">• Agricoltori e loro associazioni </w:t>
            </w:r>
          </w:p>
          <w:p w14:paraId="48F4D4F3" w14:textId="77777777" w:rsidR="00990026" w:rsidRPr="00A521EA" w:rsidRDefault="00CB55C8">
            <w:pPr>
              <w:jc w:val="both"/>
              <w:rPr>
                <w:rFonts w:cs="Cordia New"/>
                <w:sz w:val="20"/>
                <w:szCs w:val="20"/>
              </w:rPr>
            </w:pPr>
            <w:r w:rsidRPr="00A521EA">
              <w:rPr>
                <w:rFonts w:cs="Cordia New"/>
                <w:sz w:val="20"/>
                <w:szCs w:val="20"/>
              </w:rPr>
              <w:t xml:space="preserve">• Altri gestori del territorio </w:t>
            </w:r>
          </w:p>
        </w:tc>
      </w:tr>
      <w:tr w:rsidR="00A521EA" w:rsidRPr="00A521EA" w14:paraId="48F4D4FF" w14:textId="77777777" w:rsidTr="004B17C7">
        <w:tc>
          <w:tcPr>
            <w:tcW w:w="18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4F5" w14:textId="77777777" w:rsidR="00990026" w:rsidRPr="00A521EA" w:rsidRDefault="00CB55C8">
            <w:pPr>
              <w:rPr>
                <w:rFonts w:cs="Cordia New"/>
                <w:b/>
                <w:sz w:val="20"/>
                <w:szCs w:val="20"/>
              </w:rPr>
            </w:pPr>
            <w:r w:rsidRPr="00A521EA">
              <w:rPr>
                <w:rFonts w:cs="Cordia New"/>
                <w:b/>
                <w:sz w:val="20"/>
                <w:szCs w:val="20"/>
              </w:rPr>
              <w:t>COSTI AMMISSIBILI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4F6" w14:textId="77777777" w:rsidR="00990026" w:rsidRPr="00A521EA" w:rsidRDefault="00CB55C8">
            <w:pPr>
              <w:jc w:val="both"/>
              <w:rPr>
                <w:rFonts w:cs="Cordia New"/>
                <w:sz w:val="20"/>
                <w:szCs w:val="20"/>
              </w:rPr>
            </w:pPr>
            <w:r w:rsidRPr="00A521EA">
              <w:rPr>
                <w:rFonts w:cs="Cordia New"/>
                <w:sz w:val="20"/>
                <w:szCs w:val="20"/>
              </w:rPr>
              <w:t xml:space="preserve">In coerenza con quanto stabilito dal paragrafo 2 dell’articolo 45 del Regolamento (UE) n. 1305/2013, per gli investimenti non produttivi finalizzati prioritariamente alla migliore gestione delle risorse idriche, compresa la gestione dei fertilizzanti e dei pesticidi, sono </w:t>
            </w:r>
            <w:r w:rsidRPr="00A521EA">
              <w:rPr>
                <w:rFonts w:cs="Cordia New"/>
                <w:sz w:val="20"/>
                <w:szCs w:val="20"/>
                <w:u w:val="single"/>
              </w:rPr>
              <w:t>ammissibili a finanziamento</w:t>
            </w:r>
            <w:r w:rsidRPr="00A521EA">
              <w:rPr>
                <w:rFonts w:cs="Cordia New"/>
                <w:sz w:val="20"/>
                <w:szCs w:val="20"/>
              </w:rPr>
              <w:t xml:space="preserve"> le seguenti voci di spesa: </w:t>
            </w:r>
          </w:p>
          <w:p w14:paraId="48F4D4F7" w14:textId="77777777" w:rsidR="00990026" w:rsidRPr="00A521EA" w:rsidRDefault="00CB55C8">
            <w:pPr>
              <w:tabs>
                <w:tab w:val="left" w:pos="324"/>
              </w:tabs>
              <w:ind w:left="324" w:hanging="324"/>
              <w:jc w:val="both"/>
              <w:rPr>
                <w:rFonts w:ascii="MS Mincho" w:eastAsia="MS Mincho" w:hAnsi="MS Mincho" w:cs="MS Mincho"/>
                <w:sz w:val="20"/>
                <w:szCs w:val="20"/>
              </w:rPr>
            </w:pPr>
            <w:r w:rsidRPr="00A521EA">
              <w:rPr>
                <w:rFonts w:cs="Cordia New"/>
                <w:sz w:val="20"/>
                <w:szCs w:val="20"/>
              </w:rPr>
              <w:t>•</w:t>
            </w:r>
            <w:r w:rsidRPr="00A521EA">
              <w:rPr>
                <w:rFonts w:cs="Cordia New"/>
                <w:sz w:val="20"/>
                <w:szCs w:val="20"/>
              </w:rPr>
              <w:tab/>
              <w:t xml:space="preserve">Investimenti per la realizzazione e il ripristino di pozze di abbeverata per una migliore gestione delle risorse idriche nelle aree di montagna, ove costituiscono anche ambienti idonei alla conservazione della flora e fauna acquatica alpina; </w:t>
            </w:r>
            <w:r w:rsidRPr="00A521EA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48F4D4F9" w14:textId="77777777" w:rsidR="00990026" w:rsidRPr="00A521EA" w:rsidRDefault="00990026">
            <w:pPr>
              <w:jc w:val="both"/>
              <w:rPr>
                <w:rFonts w:cs="Cordia New"/>
                <w:sz w:val="20"/>
                <w:szCs w:val="20"/>
              </w:rPr>
            </w:pPr>
          </w:p>
          <w:p w14:paraId="48F4D4FA" w14:textId="77777777" w:rsidR="00990026" w:rsidRPr="00A521EA" w:rsidRDefault="00CB55C8">
            <w:pPr>
              <w:jc w:val="both"/>
              <w:rPr>
                <w:rFonts w:ascii="MS Mincho" w:eastAsia="MS Mincho" w:hAnsi="MS Mincho" w:cs="MS Mincho"/>
                <w:sz w:val="20"/>
                <w:szCs w:val="20"/>
              </w:rPr>
            </w:pPr>
            <w:r w:rsidRPr="00A521EA">
              <w:rPr>
                <w:rFonts w:cs="Cordia New"/>
                <w:sz w:val="20"/>
                <w:szCs w:val="20"/>
              </w:rPr>
              <w:t xml:space="preserve">Gli investimenti relativi alla realizzazione o ripristino di zone umide, al recupero di fontanili e alla realizzazione di fasce tampone boscate sono ammessi a finanziamento in base ai </w:t>
            </w:r>
            <w:r w:rsidRPr="00A521EA">
              <w:rPr>
                <w:rFonts w:cs="Cordia New"/>
                <w:sz w:val="20"/>
                <w:szCs w:val="20"/>
                <w:u w:val="single"/>
              </w:rPr>
              <w:t>costi standard</w:t>
            </w:r>
            <w:r w:rsidRPr="00A521EA">
              <w:rPr>
                <w:rFonts w:cs="Cordia New"/>
                <w:sz w:val="20"/>
                <w:szCs w:val="20"/>
              </w:rPr>
              <w:t xml:space="preserve"> calcolati secondo la metodologia descritta nell'allegato L al presente Programma. La metodologia di calcolo e</w:t>
            </w:r>
            <w:r w:rsidRPr="00A521EA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  <w:r w:rsidRPr="00A521EA">
              <w:rPr>
                <w:rFonts w:cs="Cordia New"/>
                <w:sz w:val="20"/>
                <w:szCs w:val="20"/>
              </w:rPr>
              <w:t xml:space="preserve">i costi standard sono certificati dall'Università Statale di Milano - Facoltà di Agraria (allegato N al Programma di Sviluppo Rurale di Regione Lombardia). </w:t>
            </w:r>
            <w:r w:rsidRPr="00A521EA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48F4D4FB" w14:textId="77777777" w:rsidR="00990026" w:rsidRPr="00A521EA" w:rsidRDefault="00CB55C8">
            <w:pPr>
              <w:jc w:val="both"/>
              <w:rPr>
                <w:rFonts w:ascii="MS Mincho" w:eastAsia="MS Mincho" w:hAnsi="MS Mincho" w:cs="MS Mincho"/>
                <w:sz w:val="20"/>
                <w:szCs w:val="20"/>
              </w:rPr>
            </w:pPr>
            <w:r w:rsidRPr="00A521EA">
              <w:rPr>
                <w:rFonts w:cs="Cordia New"/>
                <w:sz w:val="20"/>
                <w:szCs w:val="20"/>
              </w:rPr>
              <w:t xml:space="preserve">I costi standard si applicano per gli interventi realizzati dai beneficiari pubblici e dai beneficiari privati. Per i beneficiari pubblici che realizzano direttamente gli interventi e per i beneficiari privati, i costi standard si applicano nella fase di ammissione a finanziamento per determinare l’importo della spesa ammissibile e nella fase di pagamento per determinare l’importo della spesa da liquidare; per i beneficiari pubblici che realizzano gli interventi mediante appalti pubblici i costi standard si applicano solo nella fase di ammissione a finanziamento, mentre nella fase di pagamento si fa riferimento alle spese documentate relative all’appalto. </w:t>
            </w:r>
            <w:r w:rsidRPr="00A521EA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48F4D4FC" w14:textId="77777777" w:rsidR="00990026" w:rsidRPr="00A521EA" w:rsidRDefault="00990026">
            <w:pPr>
              <w:jc w:val="both"/>
              <w:rPr>
                <w:rFonts w:cs="Cordia New"/>
                <w:sz w:val="20"/>
                <w:szCs w:val="20"/>
              </w:rPr>
            </w:pPr>
          </w:p>
          <w:p w14:paraId="48F4D4FD" w14:textId="77777777" w:rsidR="00990026" w:rsidRPr="00A521EA" w:rsidRDefault="00CB55C8">
            <w:pPr>
              <w:jc w:val="both"/>
              <w:rPr>
                <w:rFonts w:ascii="MS Mincho" w:eastAsia="MS Mincho" w:hAnsi="MS Mincho" w:cs="MS Mincho"/>
                <w:sz w:val="20"/>
                <w:szCs w:val="20"/>
              </w:rPr>
            </w:pPr>
            <w:r w:rsidRPr="00A521EA">
              <w:rPr>
                <w:rFonts w:cs="Cordia New"/>
                <w:sz w:val="20"/>
                <w:szCs w:val="20"/>
              </w:rPr>
              <w:t xml:space="preserve">Le </w:t>
            </w:r>
            <w:r w:rsidRPr="00A521EA">
              <w:rPr>
                <w:rFonts w:cs="Cordia New"/>
                <w:sz w:val="20"/>
                <w:szCs w:val="20"/>
                <w:u w:val="single"/>
              </w:rPr>
              <w:t>spese generali</w:t>
            </w:r>
            <w:r w:rsidRPr="00A521EA">
              <w:rPr>
                <w:rFonts w:cs="Cordia New"/>
                <w:sz w:val="20"/>
                <w:szCs w:val="20"/>
              </w:rPr>
              <w:t xml:space="preserve"> strettamente connesse agli investimenti ammessi a finanziamento sono ammissibili nei limiti del 10% della spesa ammessa e sono rendicontabili nella fase di pagamento, sia per i beneficiari pubblici che per i beneficiari privati, solo tramite documenti fiscali. </w:t>
            </w:r>
            <w:r w:rsidRPr="00A521EA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48F4D4FE" w14:textId="77777777" w:rsidR="00990026" w:rsidRPr="00A521EA" w:rsidRDefault="00990026">
            <w:pPr>
              <w:jc w:val="both"/>
              <w:rPr>
                <w:rFonts w:cs="Cordia New"/>
                <w:sz w:val="20"/>
                <w:szCs w:val="20"/>
              </w:rPr>
            </w:pPr>
          </w:p>
        </w:tc>
      </w:tr>
      <w:tr w:rsidR="00A521EA" w:rsidRPr="00A521EA" w14:paraId="48F4D50C" w14:textId="77777777" w:rsidTr="004B17C7">
        <w:tc>
          <w:tcPr>
            <w:tcW w:w="18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00" w14:textId="77777777" w:rsidR="00990026" w:rsidRPr="00A521EA" w:rsidRDefault="00CB55C8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A521EA">
              <w:rPr>
                <w:rFonts w:cs="Cordia New"/>
                <w:b/>
                <w:caps/>
                <w:sz w:val="20"/>
                <w:szCs w:val="20"/>
              </w:rPr>
              <w:t>condizioni di ammissibilità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04" w14:textId="77777777" w:rsidR="00990026" w:rsidRPr="00A521EA" w:rsidRDefault="00CB55C8">
            <w:pPr>
              <w:jc w:val="both"/>
              <w:rPr>
                <w:rFonts w:cs="Cordia New"/>
                <w:sz w:val="20"/>
                <w:szCs w:val="20"/>
              </w:rPr>
            </w:pPr>
            <w:r w:rsidRPr="00A521EA">
              <w:rPr>
                <w:rFonts w:cs="Cordia New"/>
                <w:sz w:val="20"/>
                <w:szCs w:val="20"/>
              </w:rPr>
              <w:t xml:space="preserve">La domanda di aiuto per l’operazione 4.4.02 può essere ammessa a finanziamento a condizione che gli obblighi richiesti dal greening per la componente EFA risultino già soddisfatti. Sono fatti salvi i casi di esonero/deroga previsti dal Reg. UE n. 1307/2013. </w:t>
            </w:r>
          </w:p>
          <w:p w14:paraId="48F4D505" w14:textId="77777777" w:rsidR="00990026" w:rsidRPr="00A521EA" w:rsidRDefault="00990026">
            <w:pPr>
              <w:jc w:val="both"/>
              <w:rPr>
                <w:rFonts w:cs="Cordia New"/>
                <w:sz w:val="20"/>
                <w:szCs w:val="20"/>
              </w:rPr>
            </w:pPr>
          </w:p>
          <w:p w14:paraId="48F4D506" w14:textId="77777777" w:rsidR="00990026" w:rsidRPr="00A521EA" w:rsidRDefault="00CB55C8">
            <w:pPr>
              <w:jc w:val="both"/>
              <w:rPr>
                <w:rFonts w:cs="Cordia New"/>
                <w:sz w:val="20"/>
                <w:szCs w:val="20"/>
              </w:rPr>
            </w:pPr>
            <w:r w:rsidRPr="00A521EA">
              <w:rPr>
                <w:rFonts w:cs="Cordia New"/>
                <w:sz w:val="20"/>
                <w:szCs w:val="20"/>
              </w:rPr>
              <w:t xml:space="preserve">Il beneficiario non potrà utilizzare gli investimenti realizzati con l’operazione 4.4.02 fino all’annualità successiva a quella in cui è eseguito il collaudo finale per soddisfare gli obblighi della componente EFA. </w:t>
            </w:r>
          </w:p>
          <w:p w14:paraId="48F4D507" w14:textId="77777777" w:rsidR="00990026" w:rsidRPr="00A521EA" w:rsidRDefault="00990026">
            <w:pPr>
              <w:jc w:val="both"/>
              <w:rPr>
                <w:rFonts w:cs="Cordia New"/>
                <w:sz w:val="20"/>
                <w:szCs w:val="20"/>
              </w:rPr>
            </w:pPr>
          </w:p>
          <w:p w14:paraId="48F4D508" w14:textId="77777777" w:rsidR="00990026" w:rsidRPr="00A521EA" w:rsidRDefault="00CB55C8">
            <w:pPr>
              <w:jc w:val="both"/>
              <w:rPr>
                <w:rFonts w:cs="Cordia New"/>
                <w:sz w:val="20"/>
                <w:szCs w:val="20"/>
                <w:u w:val="single"/>
              </w:rPr>
            </w:pPr>
            <w:r w:rsidRPr="00A521EA">
              <w:rPr>
                <w:rFonts w:cs="Cordia New"/>
                <w:sz w:val="20"/>
                <w:szCs w:val="20"/>
                <w:u w:val="single"/>
              </w:rPr>
              <w:lastRenderedPageBreak/>
              <w:t xml:space="preserve">Soglia punteggio </w:t>
            </w:r>
          </w:p>
          <w:p w14:paraId="48F4D509" w14:textId="77777777" w:rsidR="00990026" w:rsidRPr="00A521EA" w:rsidRDefault="00CB55C8">
            <w:pPr>
              <w:jc w:val="both"/>
              <w:rPr>
                <w:rFonts w:cs="Cordia New"/>
                <w:sz w:val="20"/>
                <w:szCs w:val="20"/>
              </w:rPr>
            </w:pPr>
            <w:r w:rsidRPr="00A521EA">
              <w:rPr>
                <w:rFonts w:cs="Cordia New"/>
                <w:sz w:val="20"/>
                <w:szCs w:val="20"/>
              </w:rPr>
              <w:t>Per essere ammessa a finanziamento, la domanda deve raggiungere un punteggio minimo, in base ai criteri di selezione definiti per l’intervento e riportati di seguito.</w:t>
            </w:r>
          </w:p>
          <w:p w14:paraId="48F4D50B" w14:textId="79D17E08" w:rsidR="00990026" w:rsidRPr="00A521EA" w:rsidRDefault="00990026">
            <w:pPr>
              <w:jc w:val="both"/>
              <w:rPr>
                <w:rFonts w:cs="Cordia New"/>
                <w:sz w:val="20"/>
                <w:szCs w:val="20"/>
                <w:shd w:val="clear" w:color="auto" w:fill="FFFF00"/>
              </w:rPr>
            </w:pPr>
          </w:p>
        </w:tc>
      </w:tr>
      <w:tr w:rsidR="00A521EA" w:rsidRPr="00A521EA" w14:paraId="48F4D510" w14:textId="77777777" w:rsidTr="004B17C7">
        <w:tc>
          <w:tcPr>
            <w:tcW w:w="18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0D" w14:textId="77777777" w:rsidR="00990026" w:rsidRPr="00A521EA" w:rsidRDefault="00CB55C8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A521EA">
              <w:rPr>
                <w:rFonts w:cs="Cordia New"/>
                <w:b/>
                <w:caps/>
                <w:sz w:val="20"/>
                <w:szCs w:val="20"/>
              </w:rPr>
              <w:lastRenderedPageBreak/>
              <w:t>MODALITà di attuazione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54365B" w14:textId="77777777" w:rsidR="002F20CF" w:rsidRPr="00A521EA" w:rsidRDefault="002F20CF">
            <w:pPr>
              <w:jc w:val="both"/>
              <w:rPr>
                <w:rFonts w:cs="Cordia New"/>
                <w:sz w:val="20"/>
                <w:szCs w:val="20"/>
              </w:rPr>
            </w:pPr>
            <w:r w:rsidRPr="00A521EA">
              <w:rPr>
                <w:rFonts w:cs="Cordia New"/>
                <w:sz w:val="20"/>
                <w:szCs w:val="20"/>
              </w:rPr>
              <w:t>L’azione viene attuata tramite avviso pubblico coerente con la strategia del PSL e rispondente alle disposizioni comuni stabilite nei bandi regionali. Il bando viene pubblicato successivamente all’ approvazione da parte di Regione Lombardia contemporaneamente alla pubblicazione degli Accordi di filiera a cui l’azione può essere collegata.</w:t>
            </w:r>
          </w:p>
          <w:p w14:paraId="48F4D50F" w14:textId="748A00F9" w:rsidR="00990026" w:rsidRPr="00A521EA" w:rsidRDefault="00CB55C8">
            <w:pPr>
              <w:jc w:val="both"/>
              <w:rPr>
                <w:rFonts w:eastAsia="Times New Roman" w:cs="Times New Roman"/>
                <w:sz w:val="20"/>
                <w:szCs w:val="20"/>
                <w:shd w:val="clear" w:color="auto" w:fill="FFFF00"/>
                <w:lang w:eastAsia="it-IT"/>
              </w:rPr>
            </w:pPr>
            <w:r w:rsidRPr="00A521EA">
              <w:rPr>
                <w:rFonts w:eastAsia="Times New Roman" w:cs="Times New Roman"/>
                <w:sz w:val="20"/>
                <w:szCs w:val="20"/>
                <w:lang w:eastAsia="it-IT"/>
              </w:rPr>
              <w:t>Nel caso di beneficiari pubblici, la realizzazione dell’intervento dovrà avvenire nel rispetto della normativa degli appalti pubblici (d.lgs. 50/2016).</w:t>
            </w:r>
          </w:p>
        </w:tc>
      </w:tr>
      <w:tr w:rsidR="00A521EA" w:rsidRPr="00A521EA" w14:paraId="48F4D514" w14:textId="77777777" w:rsidTr="004B17C7">
        <w:tc>
          <w:tcPr>
            <w:tcW w:w="18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11" w14:textId="77777777" w:rsidR="00990026" w:rsidRPr="00A521EA" w:rsidRDefault="00CB55C8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A521EA">
              <w:rPr>
                <w:rFonts w:cs="Cordia New"/>
                <w:b/>
                <w:caps/>
                <w:sz w:val="20"/>
                <w:szCs w:val="20"/>
              </w:rPr>
              <w:t>aliquota del sostegno</w:t>
            </w: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12" w14:textId="77777777" w:rsidR="00990026" w:rsidRPr="00A521EA" w:rsidRDefault="00CB55C8">
            <w:pPr>
              <w:rPr>
                <w:rFonts w:cs="Cordia New"/>
                <w:sz w:val="20"/>
                <w:szCs w:val="20"/>
              </w:rPr>
            </w:pPr>
            <w:r w:rsidRPr="00A521EA">
              <w:rPr>
                <w:rFonts w:cs="Cordia New"/>
                <w:sz w:val="20"/>
                <w:szCs w:val="20"/>
              </w:rPr>
              <w:t>Il contributo concesso è pari al 100% della spesa ammessa a finanziamento.</w:t>
            </w:r>
          </w:p>
          <w:p w14:paraId="48F4D513" w14:textId="77777777" w:rsidR="00990026" w:rsidRPr="00A521EA" w:rsidRDefault="00CB55C8">
            <w:pPr>
              <w:rPr>
                <w:rFonts w:cs="Cordia New"/>
                <w:sz w:val="20"/>
                <w:szCs w:val="20"/>
              </w:rPr>
            </w:pPr>
            <w:r w:rsidRPr="00A521EA">
              <w:rPr>
                <w:rFonts w:cs="Cordia New"/>
                <w:sz w:val="20"/>
                <w:szCs w:val="20"/>
              </w:rPr>
              <w:t>In caso di beneficiari e attività non agricole il contributo sarà erogato ai sensi del regolamento de minimis n. 1407/2013).</w:t>
            </w:r>
          </w:p>
        </w:tc>
      </w:tr>
      <w:tr w:rsidR="00A521EA" w:rsidRPr="00A521EA" w14:paraId="48F4D517" w14:textId="77777777" w:rsidTr="004B17C7">
        <w:tc>
          <w:tcPr>
            <w:tcW w:w="1822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48F4D515" w14:textId="77777777" w:rsidR="00990026" w:rsidRPr="00A521EA" w:rsidRDefault="00990026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48F4D516" w14:textId="77777777" w:rsidR="00990026" w:rsidRPr="00A521EA" w:rsidRDefault="00990026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</w:tr>
      <w:tr w:rsidR="00A521EA" w:rsidRPr="00A521EA" w14:paraId="48F4D51C" w14:textId="77777777" w:rsidTr="004B17C7">
        <w:trPr>
          <w:trHeight w:val="20"/>
        </w:trPr>
        <w:tc>
          <w:tcPr>
            <w:tcW w:w="1822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18" w14:textId="77777777" w:rsidR="00990026" w:rsidRPr="00A521EA" w:rsidRDefault="00CB55C8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A521EA">
              <w:rPr>
                <w:rFonts w:cs="Cordia New"/>
                <w:b/>
                <w:caps/>
                <w:sz w:val="20"/>
                <w:szCs w:val="20"/>
              </w:rPr>
              <w:t>importo del sostegno</w:t>
            </w:r>
          </w:p>
        </w:tc>
        <w:tc>
          <w:tcPr>
            <w:tcW w:w="286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19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Spesa ammissibile</w:t>
            </w:r>
          </w:p>
        </w:tc>
        <w:tc>
          <w:tcPr>
            <w:tcW w:w="256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1A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Contributo pubblico totale</w:t>
            </w:r>
          </w:p>
        </w:tc>
        <w:tc>
          <w:tcPr>
            <w:tcW w:w="26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1B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Contributo FEASR</w:t>
            </w:r>
          </w:p>
        </w:tc>
      </w:tr>
      <w:tr w:rsidR="00A521EA" w:rsidRPr="00A521EA" w14:paraId="48F4D521" w14:textId="77777777" w:rsidTr="004B17C7">
        <w:trPr>
          <w:trHeight w:val="20"/>
        </w:trPr>
        <w:tc>
          <w:tcPr>
            <w:tcW w:w="182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1D" w14:textId="77777777" w:rsidR="00990026" w:rsidRPr="00A521EA" w:rsidRDefault="00990026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86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1E" w14:textId="162F4DA5" w:rsidR="00990026" w:rsidRPr="00A521EA" w:rsidRDefault="00CB55C8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€</w:t>
            </w:r>
            <w:r w:rsidR="008F4DCD" w:rsidRPr="00A521EA">
              <w:rPr>
                <w:rFonts w:cs="Cordia New"/>
                <w:i/>
                <w:sz w:val="16"/>
                <w:szCs w:val="16"/>
              </w:rPr>
              <w:t xml:space="preserve"> 70.000</w:t>
            </w:r>
          </w:p>
        </w:tc>
        <w:tc>
          <w:tcPr>
            <w:tcW w:w="256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1F" w14:textId="041F5C78" w:rsidR="00990026" w:rsidRPr="00A521EA" w:rsidRDefault="00CB55C8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€</w:t>
            </w:r>
            <w:r w:rsidR="008F4DCD" w:rsidRPr="00A521EA">
              <w:rPr>
                <w:rFonts w:cs="Cordia New"/>
                <w:i/>
                <w:sz w:val="16"/>
                <w:szCs w:val="16"/>
              </w:rPr>
              <w:t xml:space="preserve"> 70.000</w:t>
            </w:r>
          </w:p>
        </w:tc>
        <w:tc>
          <w:tcPr>
            <w:tcW w:w="26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20" w14:textId="786A0834" w:rsidR="00990026" w:rsidRPr="00A521EA" w:rsidRDefault="00CB55C8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€</w:t>
            </w:r>
            <w:r w:rsidR="008F4DCD" w:rsidRPr="00A521EA">
              <w:rPr>
                <w:rFonts w:cs="Cordia New"/>
                <w:i/>
                <w:sz w:val="16"/>
                <w:szCs w:val="16"/>
              </w:rPr>
              <w:t xml:space="preserve"> 30.</w:t>
            </w:r>
            <w:r w:rsidR="001771BC" w:rsidRPr="00A521EA">
              <w:rPr>
                <w:rFonts w:cs="Cordia New"/>
                <w:i/>
                <w:sz w:val="16"/>
                <w:szCs w:val="16"/>
              </w:rPr>
              <w:t>184</w:t>
            </w:r>
          </w:p>
        </w:tc>
      </w:tr>
      <w:tr w:rsidR="00A521EA" w:rsidRPr="00A521EA" w14:paraId="48F4D524" w14:textId="77777777" w:rsidTr="004B17C7">
        <w:trPr>
          <w:trHeight w:val="20"/>
        </w:trPr>
        <w:tc>
          <w:tcPr>
            <w:tcW w:w="1822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48F4D522" w14:textId="77777777" w:rsidR="00990026" w:rsidRPr="00A521EA" w:rsidRDefault="00990026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48F4D523" w14:textId="77777777" w:rsidR="00990026" w:rsidRPr="00A521EA" w:rsidRDefault="00990026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</w:tr>
      <w:tr w:rsidR="00A521EA" w:rsidRPr="00A521EA" w14:paraId="48F4D526" w14:textId="77777777" w:rsidTr="004B17C7">
        <w:trPr>
          <w:trHeight w:val="20"/>
        </w:trPr>
        <w:tc>
          <w:tcPr>
            <w:tcW w:w="994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25" w14:textId="77777777" w:rsidR="00990026" w:rsidRPr="00A521EA" w:rsidRDefault="00CB55C8">
            <w:pPr>
              <w:jc w:val="center"/>
              <w:rPr>
                <w:rFonts w:cs="Cordia New"/>
                <w:b/>
                <w:caps/>
                <w:sz w:val="20"/>
                <w:szCs w:val="20"/>
              </w:rPr>
            </w:pPr>
            <w:r w:rsidRPr="00A521EA">
              <w:rPr>
                <w:rFonts w:cs="Cordia New"/>
                <w:b/>
                <w:caps/>
                <w:sz w:val="20"/>
                <w:szCs w:val="20"/>
              </w:rPr>
              <w:t>cronoprogramma procedure e finanziario</w:t>
            </w:r>
          </w:p>
        </w:tc>
      </w:tr>
      <w:tr w:rsidR="00A521EA" w:rsidRPr="00A521EA" w14:paraId="48F4D528" w14:textId="77777777" w:rsidTr="004B17C7">
        <w:trPr>
          <w:trHeight w:val="20"/>
        </w:trPr>
        <w:tc>
          <w:tcPr>
            <w:tcW w:w="994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27" w14:textId="77777777" w:rsidR="00990026" w:rsidRPr="00A521EA" w:rsidRDefault="00CB55C8">
            <w:pPr>
              <w:jc w:val="center"/>
              <w:rPr>
                <w:rFonts w:cs="Cordia New"/>
                <w:b/>
                <w:sz w:val="18"/>
                <w:szCs w:val="18"/>
              </w:rPr>
            </w:pPr>
            <w:r w:rsidRPr="00A521EA">
              <w:rPr>
                <w:rFonts w:cs="Cordia New"/>
                <w:b/>
                <w:sz w:val="18"/>
                <w:szCs w:val="18"/>
              </w:rPr>
              <w:t>Importi contributo pubblico messo a bando per anno / semestre</w:t>
            </w:r>
          </w:p>
        </w:tc>
      </w:tr>
      <w:tr w:rsidR="00A521EA" w:rsidRPr="00A521EA" w14:paraId="48F4D52D" w14:textId="77777777" w:rsidTr="004B17C7">
        <w:trPr>
          <w:trHeight w:val="20"/>
        </w:trPr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29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2017</w:t>
            </w:r>
          </w:p>
        </w:tc>
        <w:tc>
          <w:tcPr>
            <w:tcW w:w="27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2A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2018</w:t>
            </w:r>
          </w:p>
        </w:tc>
        <w:tc>
          <w:tcPr>
            <w:tcW w:w="2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2B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2019</w:t>
            </w:r>
          </w:p>
        </w:tc>
        <w:tc>
          <w:tcPr>
            <w:tcW w:w="292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2C" w14:textId="77777777" w:rsidR="00990026" w:rsidRPr="00A521EA" w:rsidRDefault="00CB55C8">
            <w:pPr>
              <w:jc w:val="center"/>
              <w:rPr>
                <w:rFonts w:cs="Cordia New"/>
                <w:b/>
                <w:caps/>
                <w:sz w:val="16"/>
                <w:szCs w:val="16"/>
              </w:rPr>
            </w:pPr>
            <w:r w:rsidRPr="00A521EA">
              <w:rPr>
                <w:rFonts w:cs="Cordia New"/>
                <w:b/>
                <w:caps/>
                <w:sz w:val="16"/>
                <w:szCs w:val="16"/>
              </w:rPr>
              <w:t>2020</w:t>
            </w:r>
          </w:p>
        </w:tc>
      </w:tr>
      <w:tr w:rsidR="00A521EA" w:rsidRPr="00A521EA" w14:paraId="48F4D535" w14:textId="77777777" w:rsidTr="004B17C7">
        <w:trPr>
          <w:trHeight w:val="20"/>
        </w:trPr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2E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  <w:tc>
          <w:tcPr>
            <w:tcW w:w="13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2F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1° semestre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30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  <w:tc>
          <w:tcPr>
            <w:tcW w:w="13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31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1° semestre</w:t>
            </w: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32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  <w:tc>
          <w:tcPr>
            <w:tcW w:w="139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33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1° semestre</w:t>
            </w: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34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</w:tr>
      <w:tr w:rsidR="00A521EA" w:rsidRPr="00A521EA" w14:paraId="48F4D53D" w14:textId="77777777" w:rsidTr="004B17C7">
        <w:trPr>
          <w:trHeight w:val="20"/>
        </w:trPr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36" w14:textId="77777777" w:rsidR="00990026" w:rsidRPr="00A521EA" w:rsidRDefault="00CB55C8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13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37" w14:textId="77777777" w:rsidR="00990026" w:rsidRPr="00A521EA" w:rsidRDefault="00CB55C8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38" w14:textId="16C39650" w:rsidR="00990026" w:rsidRPr="00A521EA" w:rsidRDefault="00CB55C8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€</w:t>
            </w:r>
            <w:r w:rsidR="00C6586E">
              <w:rPr>
                <w:rFonts w:cs="Cordia New"/>
                <w:i/>
                <w:sz w:val="16"/>
                <w:szCs w:val="16"/>
              </w:rPr>
              <w:t xml:space="preserve"> 70.000</w:t>
            </w:r>
          </w:p>
        </w:tc>
        <w:tc>
          <w:tcPr>
            <w:tcW w:w="13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39" w14:textId="77777777" w:rsidR="00990026" w:rsidRPr="00A521EA" w:rsidRDefault="00CB55C8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1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3A" w14:textId="77777777" w:rsidR="00990026" w:rsidRPr="00A521EA" w:rsidRDefault="00CB55C8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139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3B" w14:textId="77777777" w:rsidR="00990026" w:rsidRPr="00A521EA" w:rsidRDefault="00CB55C8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3C" w14:textId="77777777" w:rsidR="00990026" w:rsidRPr="00A521EA" w:rsidRDefault="00CB55C8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€</w:t>
            </w:r>
          </w:p>
        </w:tc>
      </w:tr>
      <w:tr w:rsidR="00A521EA" w:rsidRPr="00A521EA" w14:paraId="48F4D540" w14:textId="77777777" w:rsidTr="004B17C7">
        <w:trPr>
          <w:trHeight w:val="60"/>
        </w:trPr>
        <w:tc>
          <w:tcPr>
            <w:tcW w:w="1822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48F4D53E" w14:textId="77777777" w:rsidR="00990026" w:rsidRPr="00A521EA" w:rsidRDefault="00990026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  <w:tc>
          <w:tcPr>
            <w:tcW w:w="8124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48F4D53F" w14:textId="77777777" w:rsidR="00990026" w:rsidRPr="00A521EA" w:rsidRDefault="00990026">
            <w:pPr>
              <w:rPr>
                <w:rFonts w:cs="Cordia New"/>
                <w:i/>
                <w:sz w:val="16"/>
                <w:szCs w:val="16"/>
              </w:rPr>
            </w:pPr>
          </w:p>
        </w:tc>
      </w:tr>
      <w:tr w:rsidR="00A521EA" w:rsidRPr="00A521EA" w14:paraId="48F4D545" w14:textId="77777777" w:rsidTr="004B17C7">
        <w:trPr>
          <w:trHeight w:val="159"/>
        </w:trPr>
        <w:tc>
          <w:tcPr>
            <w:tcW w:w="13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41" w14:textId="77777777" w:rsidR="00990026" w:rsidRPr="00A521EA" w:rsidRDefault="00CB55C8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A521EA">
              <w:rPr>
                <w:rFonts w:cs="Cordia New"/>
                <w:b/>
                <w:caps/>
                <w:sz w:val="20"/>
                <w:szCs w:val="20"/>
              </w:rPr>
              <w:t>Indicatori</w:t>
            </w:r>
          </w:p>
        </w:tc>
        <w:tc>
          <w:tcPr>
            <w:tcW w:w="577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42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Nome indicatore</w:t>
            </w:r>
          </w:p>
        </w:tc>
        <w:tc>
          <w:tcPr>
            <w:tcW w:w="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43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U. m.</w:t>
            </w:r>
          </w:p>
        </w:tc>
        <w:tc>
          <w:tcPr>
            <w:tcW w:w="2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44" w14:textId="77777777" w:rsidR="00990026" w:rsidRPr="00A521EA" w:rsidRDefault="00CB55C8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Valore atteso al 2023</w:t>
            </w:r>
          </w:p>
        </w:tc>
      </w:tr>
      <w:tr w:rsidR="00A521EA" w:rsidRPr="00A521EA" w14:paraId="48F4D54B" w14:textId="77777777" w:rsidTr="001771BC">
        <w:trPr>
          <w:trHeight w:val="158"/>
        </w:trPr>
        <w:tc>
          <w:tcPr>
            <w:tcW w:w="13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46" w14:textId="77777777" w:rsidR="00990026" w:rsidRPr="00A521EA" w:rsidRDefault="00990026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47" w14:textId="77777777" w:rsidR="00990026" w:rsidRPr="00A521EA" w:rsidRDefault="00CB55C8">
            <w:pPr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Indicatori QCM&amp;V</w:t>
            </w:r>
          </w:p>
        </w:tc>
        <w:tc>
          <w:tcPr>
            <w:tcW w:w="367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48" w14:textId="77777777" w:rsidR="00990026" w:rsidRPr="00A521EA" w:rsidRDefault="00CB55C8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O1 - Spesa pubblica totale</w:t>
            </w:r>
          </w:p>
        </w:tc>
        <w:tc>
          <w:tcPr>
            <w:tcW w:w="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49" w14:textId="77777777" w:rsidR="00990026" w:rsidRPr="00A521EA" w:rsidRDefault="00CB55C8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2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4A" w14:textId="7A07F1AF" w:rsidR="00990026" w:rsidRPr="00A521EA" w:rsidRDefault="008F4DCD" w:rsidP="001771BC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70.000</w:t>
            </w:r>
          </w:p>
        </w:tc>
      </w:tr>
      <w:tr w:rsidR="00A521EA" w:rsidRPr="00A521EA" w14:paraId="48F4D551" w14:textId="77777777" w:rsidTr="001771BC">
        <w:trPr>
          <w:trHeight w:val="212"/>
        </w:trPr>
        <w:tc>
          <w:tcPr>
            <w:tcW w:w="13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4C" w14:textId="77777777" w:rsidR="00990026" w:rsidRPr="00A521EA" w:rsidRDefault="00990026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4D" w14:textId="77777777" w:rsidR="00990026" w:rsidRPr="00A521EA" w:rsidRDefault="00990026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67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4E" w14:textId="77777777" w:rsidR="00990026" w:rsidRPr="00A521EA" w:rsidRDefault="00CB55C8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O2 – Investimenti totali</w:t>
            </w:r>
          </w:p>
        </w:tc>
        <w:tc>
          <w:tcPr>
            <w:tcW w:w="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4F" w14:textId="77777777" w:rsidR="00990026" w:rsidRPr="00A521EA" w:rsidRDefault="00CB55C8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2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50" w14:textId="5C62B329" w:rsidR="00990026" w:rsidRPr="00A521EA" w:rsidRDefault="008F4DCD" w:rsidP="001771BC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70.000</w:t>
            </w:r>
          </w:p>
        </w:tc>
      </w:tr>
      <w:tr w:rsidR="00A521EA" w:rsidRPr="00A521EA" w14:paraId="48F4D557" w14:textId="77777777" w:rsidTr="001771BC">
        <w:trPr>
          <w:trHeight w:val="158"/>
        </w:trPr>
        <w:tc>
          <w:tcPr>
            <w:tcW w:w="13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52" w14:textId="77777777" w:rsidR="00990026" w:rsidRPr="00A521EA" w:rsidRDefault="00990026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53" w14:textId="77777777" w:rsidR="00990026" w:rsidRPr="00A521EA" w:rsidRDefault="00990026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67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54" w14:textId="77777777" w:rsidR="00990026" w:rsidRPr="00A521EA" w:rsidRDefault="00CB55C8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O3 - Numero di  operazioni sovvenzionate</w:t>
            </w:r>
          </w:p>
        </w:tc>
        <w:tc>
          <w:tcPr>
            <w:tcW w:w="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55" w14:textId="77777777" w:rsidR="00990026" w:rsidRPr="00A521EA" w:rsidRDefault="00CB55C8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n°</w:t>
            </w:r>
          </w:p>
        </w:tc>
        <w:tc>
          <w:tcPr>
            <w:tcW w:w="2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56" w14:textId="12906288" w:rsidR="00990026" w:rsidRPr="00A521EA" w:rsidRDefault="001425AA" w:rsidP="001771BC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5</w:t>
            </w:r>
          </w:p>
        </w:tc>
      </w:tr>
      <w:tr w:rsidR="00A521EA" w:rsidRPr="00A521EA" w14:paraId="48F4D55D" w14:textId="77777777" w:rsidTr="001771BC">
        <w:trPr>
          <w:trHeight w:val="158"/>
        </w:trPr>
        <w:tc>
          <w:tcPr>
            <w:tcW w:w="13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58" w14:textId="77777777" w:rsidR="00990026" w:rsidRPr="00A521EA" w:rsidRDefault="00990026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59" w14:textId="77777777" w:rsidR="00990026" w:rsidRPr="00A521EA" w:rsidRDefault="00990026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67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5A" w14:textId="77777777" w:rsidR="00990026" w:rsidRPr="00A521EA" w:rsidRDefault="00990026">
            <w:pPr>
              <w:rPr>
                <w:rFonts w:cs="Cordia New"/>
                <w:i/>
                <w:sz w:val="16"/>
                <w:szCs w:val="16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5B" w14:textId="77777777" w:rsidR="00990026" w:rsidRPr="00A521EA" w:rsidRDefault="00990026">
            <w:pPr>
              <w:rPr>
                <w:rFonts w:cs="Cordia New"/>
                <w:i/>
                <w:sz w:val="16"/>
                <w:szCs w:val="16"/>
              </w:rPr>
            </w:pPr>
          </w:p>
        </w:tc>
        <w:tc>
          <w:tcPr>
            <w:tcW w:w="2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5C" w14:textId="77777777" w:rsidR="00990026" w:rsidRPr="00A521EA" w:rsidRDefault="00990026" w:rsidP="001771BC">
            <w:pPr>
              <w:jc w:val="center"/>
              <w:rPr>
                <w:rFonts w:cs="Cordia New"/>
                <w:i/>
                <w:sz w:val="16"/>
                <w:szCs w:val="16"/>
              </w:rPr>
            </w:pPr>
          </w:p>
        </w:tc>
      </w:tr>
      <w:tr w:rsidR="00A521EA" w:rsidRPr="00A521EA" w14:paraId="48F4D563" w14:textId="77777777" w:rsidTr="001771BC">
        <w:trPr>
          <w:trHeight w:val="158"/>
        </w:trPr>
        <w:tc>
          <w:tcPr>
            <w:tcW w:w="13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5E" w14:textId="77777777" w:rsidR="00990026" w:rsidRPr="00A521EA" w:rsidRDefault="00990026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5F" w14:textId="77777777" w:rsidR="00990026" w:rsidRPr="00A521EA" w:rsidRDefault="00CB55C8">
            <w:pPr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Indicatori PSL</w:t>
            </w:r>
          </w:p>
        </w:tc>
        <w:tc>
          <w:tcPr>
            <w:tcW w:w="367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60" w14:textId="13407CE1" w:rsidR="00990026" w:rsidRPr="00A521EA" w:rsidRDefault="001425AA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Finanziario: contributo pubblico</w:t>
            </w:r>
          </w:p>
        </w:tc>
        <w:tc>
          <w:tcPr>
            <w:tcW w:w="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61" w14:textId="5AF9121B" w:rsidR="00990026" w:rsidRPr="00A521EA" w:rsidRDefault="004B17C7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2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62" w14:textId="0DB50150" w:rsidR="00990026" w:rsidRPr="00A521EA" w:rsidRDefault="001425AA" w:rsidP="001771BC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70.000</w:t>
            </w:r>
          </w:p>
        </w:tc>
      </w:tr>
      <w:tr w:rsidR="00A521EA" w:rsidRPr="00A521EA" w14:paraId="48F4D569" w14:textId="77777777" w:rsidTr="001771BC">
        <w:trPr>
          <w:trHeight w:val="158"/>
        </w:trPr>
        <w:tc>
          <w:tcPr>
            <w:tcW w:w="13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64" w14:textId="77777777" w:rsidR="00990026" w:rsidRPr="00A521EA" w:rsidRDefault="00990026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65" w14:textId="77777777" w:rsidR="00990026" w:rsidRPr="00A521EA" w:rsidRDefault="00990026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67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66" w14:textId="6D7C0B72" w:rsidR="00990026" w:rsidRPr="00A521EA" w:rsidRDefault="004B17C7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Di prodotto: pozze realizzate/migliorate</w:t>
            </w:r>
          </w:p>
        </w:tc>
        <w:tc>
          <w:tcPr>
            <w:tcW w:w="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67" w14:textId="0208F399" w:rsidR="00990026" w:rsidRPr="00A521EA" w:rsidRDefault="004B17C7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n.</w:t>
            </w:r>
          </w:p>
        </w:tc>
        <w:tc>
          <w:tcPr>
            <w:tcW w:w="2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68" w14:textId="1AB5BAA6" w:rsidR="00990026" w:rsidRPr="00A521EA" w:rsidRDefault="004B17C7" w:rsidP="001771BC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5</w:t>
            </w:r>
          </w:p>
        </w:tc>
      </w:tr>
      <w:tr w:rsidR="00A521EA" w:rsidRPr="00A521EA" w14:paraId="48F4D56F" w14:textId="77777777" w:rsidTr="001771BC">
        <w:trPr>
          <w:trHeight w:val="158"/>
        </w:trPr>
        <w:tc>
          <w:tcPr>
            <w:tcW w:w="13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6A" w14:textId="77777777" w:rsidR="00990026" w:rsidRPr="00A521EA" w:rsidRDefault="00990026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6B" w14:textId="77777777" w:rsidR="00990026" w:rsidRPr="00A521EA" w:rsidRDefault="00990026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67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6C" w14:textId="2CB26975" w:rsidR="00990026" w:rsidRPr="00A521EA" w:rsidRDefault="004B17C7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Di obiettivo: superfici habitat nteressati</w:t>
            </w:r>
          </w:p>
        </w:tc>
        <w:tc>
          <w:tcPr>
            <w:tcW w:w="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6D" w14:textId="085967F4" w:rsidR="00990026" w:rsidRPr="00A521EA" w:rsidRDefault="004B17C7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ha</w:t>
            </w:r>
          </w:p>
        </w:tc>
        <w:tc>
          <w:tcPr>
            <w:tcW w:w="2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6E" w14:textId="1187CC29" w:rsidR="00990026" w:rsidRPr="00A521EA" w:rsidRDefault="004B17C7" w:rsidP="001771BC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60</w:t>
            </w:r>
          </w:p>
        </w:tc>
      </w:tr>
      <w:tr w:rsidR="00A521EA" w:rsidRPr="00A521EA" w14:paraId="48F4D575" w14:textId="77777777" w:rsidTr="001771BC">
        <w:trPr>
          <w:trHeight w:val="158"/>
        </w:trPr>
        <w:tc>
          <w:tcPr>
            <w:tcW w:w="13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70" w14:textId="77777777" w:rsidR="002F20CF" w:rsidRPr="00A521EA" w:rsidRDefault="002F20CF" w:rsidP="002F20C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71" w14:textId="4BD75E86" w:rsidR="002F20CF" w:rsidRPr="00A521EA" w:rsidRDefault="002F20CF" w:rsidP="002F20CF">
            <w:pPr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Accordi di filiera</w:t>
            </w:r>
          </w:p>
        </w:tc>
        <w:tc>
          <w:tcPr>
            <w:tcW w:w="367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72" w14:textId="1D30BD4B" w:rsidR="002F20CF" w:rsidRPr="00A521EA" w:rsidRDefault="002F20CF" w:rsidP="002F20CF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Numero di progetti compresi negli Accordi di filera</w:t>
            </w:r>
          </w:p>
        </w:tc>
        <w:tc>
          <w:tcPr>
            <w:tcW w:w="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73" w14:textId="008576CE" w:rsidR="002F20CF" w:rsidRPr="00A521EA" w:rsidRDefault="002F20CF" w:rsidP="002F20CF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n°</w:t>
            </w:r>
          </w:p>
        </w:tc>
        <w:tc>
          <w:tcPr>
            <w:tcW w:w="2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74" w14:textId="73DC0DCB" w:rsidR="002F20CF" w:rsidRPr="00A521EA" w:rsidRDefault="002F20CF" w:rsidP="001771BC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5</w:t>
            </w:r>
          </w:p>
        </w:tc>
      </w:tr>
      <w:tr w:rsidR="00A521EA" w:rsidRPr="00A521EA" w14:paraId="48F4D57B" w14:textId="77777777" w:rsidTr="0063540A">
        <w:trPr>
          <w:trHeight w:val="401"/>
        </w:trPr>
        <w:tc>
          <w:tcPr>
            <w:tcW w:w="13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76" w14:textId="77777777" w:rsidR="001771BC" w:rsidRPr="00A521EA" w:rsidRDefault="001771BC" w:rsidP="001771BC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093" w:type="dxa"/>
            <w:gridSpan w:val="4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77" w14:textId="3255FD95" w:rsidR="001771BC" w:rsidRPr="00A521EA" w:rsidRDefault="001771BC" w:rsidP="001771BC">
            <w:pPr>
              <w:rPr>
                <w:rFonts w:cs="Cordia New"/>
                <w:b/>
                <w:sz w:val="16"/>
                <w:szCs w:val="16"/>
              </w:rPr>
            </w:pPr>
            <w:r w:rsidRPr="00A521EA">
              <w:rPr>
                <w:rFonts w:cs="Cordia New"/>
                <w:b/>
                <w:sz w:val="16"/>
                <w:szCs w:val="16"/>
              </w:rPr>
              <w:t>Indicatori ambientali</w:t>
            </w:r>
          </w:p>
        </w:tc>
        <w:tc>
          <w:tcPr>
            <w:tcW w:w="3678" w:type="dxa"/>
            <w:gridSpan w:val="5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78" w14:textId="62C2786E" w:rsidR="001771BC" w:rsidRPr="00A521EA" w:rsidRDefault="001771BC" w:rsidP="001771BC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 xml:space="preserve">Pozze di interesse ecologico-naturalistico per accumulo dell’acqua meteorica </w:t>
            </w:r>
          </w:p>
        </w:tc>
        <w:tc>
          <w:tcPr>
            <w:tcW w:w="74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79" w14:textId="439D3C15" w:rsidR="001771BC" w:rsidRPr="00A521EA" w:rsidRDefault="001771BC" w:rsidP="001771BC">
            <w:pPr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n.</w:t>
            </w:r>
          </w:p>
        </w:tc>
        <w:tc>
          <w:tcPr>
            <w:tcW w:w="209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7A" w14:textId="0216BB83" w:rsidR="001771BC" w:rsidRPr="00A521EA" w:rsidRDefault="001771BC" w:rsidP="001771BC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A521EA">
              <w:rPr>
                <w:rFonts w:cs="Cordia New"/>
                <w:i/>
                <w:sz w:val="16"/>
                <w:szCs w:val="16"/>
              </w:rPr>
              <w:t>5</w:t>
            </w:r>
          </w:p>
        </w:tc>
      </w:tr>
      <w:tr w:rsidR="00A521EA" w:rsidRPr="00A521EA" w14:paraId="48F4D584" w14:textId="77777777" w:rsidTr="004B17C7">
        <w:trPr>
          <w:trHeight w:val="158"/>
        </w:trPr>
        <w:tc>
          <w:tcPr>
            <w:tcW w:w="13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4D582" w14:textId="77777777" w:rsidR="002F20CF" w:rsidRPr="00A521EA" w:rsidRDefault="002F20CF" w:rsidP="002F20C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860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F4D583" w14:textId="77777777" w:rsidR="002F20CF" w:rsidRPr="00A521EA" w:rsidRDefault="002F20CF" w:rsidP="002F20CF">
            <w:pPr>
              <w:rPr>
                <w:rFonts w:cs="Cordia New"/>
                <w:sz w:val="16"/>
                <w:szCs w:val="16"/>
              </w:rPr>
            </w:pPr>
            <w:r w:rsidRPr="00A521EA">
              <w:rPr>
                <w:rFonts w:cs="Cordia New"/>
                <w:sz w:val="16"/>
                <w:szCs w:val="16"/>
              </w:rPr>
              <w:t>* Da definire concordemente con l’Autorità Ambientale del Programma</w:t>
            </w:r>
          </w:p>
        </w:tc>
      </w:tr>
    </w:tbl>
    <w:p w14:paraId="48F4D585" w14:textId="63409A0F" w:rsidR="00990026" w:rsidRPr="00A521EA" w:rsidRDefault="00990026">
      <w:pPr>
        <w:rPr>
          <w:rFonts w:cs="Cordia New"/>
          <w:b/>
          <w:sz w:val="20"/>
          <w:szCs w:val="20"/>
        </w:rPr>
      </w:pPr>
    </w:p>
    <w:p w14:paraId="4063230A" w14:textId="5294FCD4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38B43F29" w14:textId="0BBB4966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2AFB917E" w14:textId="0BDFBE73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2199F854" w14:textId="7D95A62E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71152DE4" w14:textId="2D45EC75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6E8D120D" w14:textId="444DF1CE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7D4257CE" w14:textId="36A29120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15A6431B" w14:textId="1AD2965C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1BDF0C35" w14:textId="22FA30EF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733404B5" w14:textId="76CFA561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17086444" w14:textId="3E2C95AE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4F7706EE" w14:textId="5DDFE697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719E1654" w14:textId="60057BFB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4D72232D" w14:textId="28BAC204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1FB1CB94" w14:textId="42B57AD3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4735B8E2" w14:textId="07390091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30D75D98" w14:textId="35313CE0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3CF91C8A" w14:textId="168B994A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04845F36" w14:textId="4D9BEBA5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71AC098E" w14:textId="36112BDB" w:rsidR="00FE66E9" w:rsidRDefault="00FE66E9">
      <w:pPr>
        <w:rPr>
          <w:rFonts w:cs="Cordia New"/>
          <w:b/>
          <w:sz w:val="20"/>
          <w:szCs w:val="20"/>
        </w:rPr>
      </w:pPr>
    </w:p>
    <w:p w14:paraId="4BCC3617" w14:textId="68D08CBA" w:rsidR="00D774C9" w:rsidRDefault="00D774C9">
      <w:pPr>
        <w:rPr>
          <w:rFonts w:cs="Cordia New"/>
          <w:b/>
          <w:sz w:val="20"/>
          <w:szCs w:val="20"/>
        </w:rPr>
      </w:pPr>
    </w:p>
    <w:p w14:paraId="23B3A539" w14:textId="15F66299" w:rsidR="00D774C9" w:rsidRDefault="00D774C9">
      <w:pPr>
        <w:rPr>
          <w:rFonts w:cs="Cordia New"/>
          <w:b/>
          <w:sz w:val="20"/>
          <w:szCs w:val="20"/>
        </w:rPr>
      </w:pPr>
    </w:p>
    <w:p w14:paraId="283156EF" w14:textId="77777777" w:rsidR="00D774C9" w:rsidRPr="00A521EA" w:rsidRDefault="00D774C9">
      <w:pPr>
        <w:rPr>
          <w:rFonts w:cs="Cordia New"/>
          <w:b/>
          <w:sz w:val="20"/>
          <w:szCs w:val="20"/>
        </w:rPr>
      </w:pPr>
      <w:bookmarkStart w:id="0" w:name="_GoBack"/>
      <w:bookmarkEnd w:id="0"/>
    </w:p>
    <w:p w14:paraId="0DA94A08" w14:textId="3EACB242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023F5FBA" w14:textId="5CE6F307" w:rsidR="00FE66E9" w:rsidRPr="00A521EA" w:rsidRDefault="00FE66E9">
      <w:pPr>
        <w:rPr>
          <w:rFonts w:cs="Cordia New"/>
          <w:b/>
          <w:sz w:val="20"/>
          <w:szCs w:val="20"/>
        </w:rPr>
      </w:pPr>
    </w:p>
    <w:p w14:paraId="23062F55" w14:textId="186A0833" w:rsidR="00FE66E9" w:rsidRPr="00A521EA" w:rsidRDefault="00FE66E9">
      <w:pPr>
        <w:rPr>
          <w:rFonts w:cs="Cordia New"/>
          <w:b/>
          <w:sz w:val="20"/>
          <w:szCs w:val="20"/>
        </w:rPr>
      </w:pPr>
    </w:p>
    <w:tbl>
      <w:tblPr>
        <w:tblW w:w="0" w:type="auto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988"/>
      </w:tblGrid>
      <w:tr w:rsidR="00A521EA" w:rsidRPr="00A521EA" w14:paraId="48F4D587" w14:textId="77777777" w:rsidTr="00290357">
        <w:trPr>
          <w:trHeight w:val="20"/>
        </w:trPr>
        <w:tc>
          <w:tcPr>
            <w:tcW w:w="9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48F4D586" w14:textId="77777777" w:rsidR="00990026" w:rsidRPr="00A521EA" w:rsidRDefault="00CB55C8">
            <w:pPr>
              <w:jc w:val="center"/>
              <w:rPr>
                <w:rFonts w:cs="Cordia New"/>
                <w:b/>
                <w:caps/>
                <w:sz w:val="20"/>
                <w:szCs w:val="20"/>
              </w:rPr>
            </w:pPr>
            <w:r w:rsidRPr="00A521EA">
              <w:rPr>
                <w:rFonts w:cs="Cordia New"/>
                <w:b/>
                <w:caps/>
                <w:sz w:val="20"/>
                <w:szCs w:val="20"/>
              </w:rPr>
              <w:lastRenderedPageBreak/>
              <w:t>CRITERI DI SELEZIONE</w:t>
            </w:r>
          </w:p>
        </w:tc>
      </w:tr>
    </w:tbl>
    <w:p w14:paraId="48F4D588" w14:textId="77777777" w:rsidR="00990026" w:rsidRPr="00A521EA" w:rsidRDefault="00990026">
      <w:pPr>
        <w:rPr>
          <w:rFonts w:eastAsia="Times New Roman" w:cs="Times New Roman"/>
          <w:b/>
          <w:bCs/>
          <w:sz w:val="6"/>
          <w:szCs w:val="6"/>
        </w:rPr>
      </w:pPr>
    </w:p>
    <w:tbl>
      <w:tblPr>
        <w:tblW w:w="0" w:type="auto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859"/>
        <w:gridCol w:w="8416"/>
        <w:gridCol w:w="708"/>
      </w:tblGrid>
      <w:tr w:rsidR="00A521EA" w:rsidRPr="00A521EA" w14:paraId="48F4D58B" w14:textId="77777777">
        <w:trPr>
          <w:trHeight w:val="20"/>
        </w:trPr>
        <w:tc>
          <w:tcPr>
            <w:tcW w:w="9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48F4D589" w14:textId="77777777" w:rsidR="00990026" w:rsidRPr="00A521EA" w:rsidRDefault="00CB55C8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MACROCRITERI DI VALUTAZIONE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48F4D58A" w14:textId="77777777" w:rsidR="00990026" w:rsidRPr="00A521EA" w:rsidRDefault="00CB55C8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PUNTI</w:t>
            </w:r>
          </w:p>
        </w:tc>
      </w:tr>
      <w:tr w:rsidR="00A521EA" w:rsidRPr="00A521EA" w14:paraId="48F4D58E" w14:textId="77777777">
        <w:trPr>
          <w:trHeight w:val="20"/>
        </w:trPr>
        <w:tc>
          <w:tcPr>
            <w:tcW w:w="94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48F4D58C" w14:textId="77777777" w:rsidR="00990026" w:rsidRPr="00A521EA" w:rsidRDefault="00990026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48F4D58D" w14:textId="77777777" w:rsidR="00990026" w:rsidRPr="00A521EA" w:rsidRDefault="00990026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A521EA" w:rsidRPr="00A521EA" w14:paraId="48F4D591" w14:textId="77777777">
        <w:trPr>
          <w:trHeight w:val="20"/>
        </w:trPr>
        <w:tc>
          <w:tcPr>
            <w:tcW w:w="9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8F" w14:textId="77777777" w:rsidR="00990026" w:rsidRPr="00A521EA" w:rsidRDefault="00CB55C8">
            <w:pPr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Tipologia degli interventi e loro requisiti qualitativi </w:t>
            </w:r>
          </w:p>
        </w:tc>
        <w:tc>
          <w:tcPr>
            <w:tcW w:w="7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  <w:vAlign w:val="center"/>
          </w:tcPr>
          <w:p w14:paraId="48F4D590" w14:textId="77777777" w:rsidR="00990026" w:rsidRPr="00A521EA" w:rsidRDefault="00CB55C8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50</w:t>
            </w:r>
          </w:p>
        </w:tc>
      </w:tr>
      <w:tr w:rsidR="00A521EA" w:rsidRPr="00A521EA" w14:paraId="48F4D594" w14:textId="77777777">
        <w:trPr>
          <w:trHeight w:val="20"/>
        </w:trPr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48F4D592" w14:textId="77777777" w:rsidR="00990026" w:rsidRPr="00A521EA" w:rsidRDefault="00CB55C8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933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93" w14:textId="77777777" w:rsidR="00990026" w:rsidRPr="00A521EA" w:rsidRDefault="00CB55C8">
            <w:pPr>
              <w:rPr>
                <w:rFonts w:eastAsia="Times New Roman" w:cs="Times New Roman"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z w:val="18"/>
                <w:szCs w:val="18"/>
              </w:rPr>
              <w:t>Recupero fontanili</w:t>
            </w:r>
          </w:p>
        </w:tc>
      </w:tr>
      <w:tr w:rsidR="00A521EA" w:rsidRPr="00A521EA" w14:paraId="48F4D597" w14:textId="77777777">
        <w:trPr>
          <w:trHeight w:val="20"/>
        </w:trPr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48F4D595" w14:textId="77777777" w:rsidR="00990026" w:rsidRPr="00A521EA" w:rsidRDefault="00CB55C8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933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96" w14:textId="77777777" w:rsidR="00990026" w:rsidRPr="00A521EA" w:rsidRDefault="00CB55C8">
            <w:pPr>
              <w:rPr>
                <w:rFonts w:eastAsia="Times New Roman" w:cs="Times New Roman"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z w:val="18"/>
                <w:szCs w:val="18"/>
              </w:rPr>
              <w:t xml:space="preserve">Numero delle specie e lunghezza per la realizzazione di fasce tampone boscate </w:t>
            </w:r>
          </w:p>
        </w:tc>
      </w:tr>
      <w:tr w:rsidR="00A521EA" w:rsidRPr="00A521EA" w14:paraId="48F4D59A" w14:textId="77777777">
        <w:trPr>
          <w:trHeight w:val="20"/>
        </w:trPr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48F4D598" w14:textId="77777777" w:rsidR="00990026" w:rsidRPr="00A521EA" w:rsidRDefault="00CB55C8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933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99" w14:textId="77777777" w:rsidR="00990026" w:rsidRPr="00A521EA" w:rsidRDefault="00CB55C8">
            <w:pPr>
              <w:rPr>
                <w:rFonts w:eastAsia="Times New Roman" w:cs="Times New Roman"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z w:val="18"/>
                <w:szCs w:val="18"/>
              </w:rPr>
              <w:t>Dimensione delle pozze di abbeverata e aree umide</w:t>
            </w:r>
          </w:p>
        </w:tc>
      </w:tr>
      <w:tr w:rsidR="00A521EA" w:rsidRPr="00A521EA" w14:paraId="48F4D59D" w14:textId="77777777">
        <w:trPr>
          <w:trHeight w:val="20"/>
        </w:trPr>
        <w:tc>
          <w:tcPr>
            <w:tcW w:w="94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48F4D59B" w14:textId="77777777" w:rsidR="00990026" w:rsidRPr="00A521EA" w:rsidRDefault="00CB55C8">
            <w:pPr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Localizzazione dell’intervento </w:t>
            </w:r>
          </w:p>
        </w:tc>
        <w:tc>
          <w:tcPr>
            <w:tcW w:w="71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center"/>
          </w:tcPr>
          <w:p w14:paraId="48F4D59C" w14:textId="77777777" w:rsidR="00990026" w:rsidRPr="00A521EA" w:rsidRDefault="00CB55C8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50</w:t>
            </w:r>
          </w:p>
        </w:tc>
      </w:tr>
      <w:tr w:rsidR="00A521EA" w:rsidRPr="00A521EA" w14:paraId="48F4D5A1" w14:textId="77777777">
        <w:trPr>
          <w:trHeight w:val="20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F4D59E" w14:textId="77777777" w:rsidR="00990026" w:rsidRPr="00A521EA" w:rsidRDefault="00990026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F4D59F" w14:textId="77777777" w:rsidR="00990026" w:rsidRPr="00A521EA" w:rsidRDefault="00990026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F4D5A0" w14:textId="77777777" w:rsidR="00990026" w:rsidRPr="00A521EA" w:rsidRDefault="00990026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A521EA" w:rsidRPr="00A521EA" w14:paraId="48F4D5A5" w14:textId="77777777">
        <w:trPr>
          <w:trHeight w:val="20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F4D5A2" w14:textId="77777777" w:rsidR="00990026" w:rsidRPr="00A521EA" w:rsidRDefault="00990026">
            <w:pPr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48F4D5A3" w14:textId="77777777" w:rsidR="00990026" w:rsidRPr="00A521EA" w:rsidRDefault="00CB55C8">
            <w:pPr>
              <w:jc w:val="right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PUNTEGGIO MASSIMO</w:t>
            </w:r>
          </w:p>
        </w:tc>
        <w:tc>
          <w:tcPr>
            <w:tcW w:w="71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A4" w14:textId="77777777" w:rsidR="00990026" w:rsidRPr="00A521EA" w:rsidRDefault="00CB55C8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100</w:t>
            </w:r>
          </w:p>
        </w:tc>
      </w:tr>
    </w:tbl>
    <w:p w14:paraId="48F4D5A6" w14:textId="77777777" w:rsidR="00990026" w:rsidRPr="00A521EA" w:rsidRDefault="00990026">
      <w:pPr>
        <w:rPr>
          <w:rFonts w:eastAsia="Times New Roman" w:cs="Times New Roman"/>
          <w:b/>
          <w:bCs/>
          <w:sz w:val="6"/>
          <w:szCs w:val="6"/>
        </w:rPr>
      </w:pPr>
    </w:p>
    <w:tbl>
      <w:tblPr>
        <w:tblW w:w="10143" w:type="dxa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8118"/>
        <w:gridCol w:w="155"/>
        <w:gridCol w:w="254"/>
        <w:gridCol w:w="132"/>
        <w:gridCol w:w="707"/>
        <w:gridCol w:w="150"/>
      </w:tblGrid>
      <w:tr w:rsidR="00A521EA" w:rsidRPr="00A521EA" w14:paraId="48F4D5A9" w14:textId="745F70B5" w:rsidTr="00CE540F">
        <w:trPr>
          <w:gridAfter w:val="1"/>
          <w:wAfter w:w="150" w:type="dxa"/>
          <w:trHeight w:val="20"/>
        </w:trPr>
        <w:tc>
          <w:tcPr>
            <w:tcW w:w="8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48F4D5A7" w14:textId="77777777" w:rsidR="00CE540F" w:rsidRPr="00A521EA" w:rsidRDefault="00CE540F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ELEMENTI DI VALUTAZIONE</w:t>
            </w:r>
          </w:p>
        </w:tc>
        <w:tc>
          <w:tcPr>
            <w:tcW w:w="1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0C73B50F" w14:textId="6C7B4D27" w:rsidR="00CE540F" w:rsidRPr="00A521EA" w:rsidRDefault="00CE540F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PUNTI</w:t>
            </w:r>
          </w:p>
        </w:tc>
      </w:tr>
      <w:tr w:rsidR="00A521EA" w:rsidRPr="00A521EA" w14:paraId="48F4D5AC" w14:textId="51D23A97" w:rsidTr="00CE540F">
        <w:trPr>
          <w:trHeight w:val="20"/>
        </w:trPr>
        <w:tc>
          <w:tcPr>
            <w:tcW w:w="874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48F4D5AA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48F4D5AB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091EA340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A521EA" w:rsidRPr="00A521EA" w14:paraId="48F4D5AF" w14:textId="11215843" w:rsidTr="00CE540F">
        <w:trPr>
          <w:gridAfter w:val="1"/>
          <w:wAfter w:w="150" w:type="dxa"/>
          <w:trHeight w:val="20"/>
        </w:trPr>
        <w:tc>
          <w:tcPr>
            <w:tcW w:w="8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AD" w14:textId="77777777" w:rsidR="00CE540F" w:rsidRPr="00A521EA" w:rsidRDefault="00CE540F">
            <w:pPr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Tipologia degli interventi e loro requisiti qualitativi </w:t>
            </w:r>
          </w:p>
        </w:tc>
        <w:tc>
          <w:tcPr>
            <w:tcW w:w="124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  <w:vAlign w:val="center"/>
          </w:tcPr>
          <w:p w14:paraId="4743C3D4" w14:textId="2F9C2EB4" w:rsidR="00CE540F" w:rsidRPr="00A521EA" w:rsidRDefault="00CE540F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50</w:t>
            </w:r>
          </w:p>
        </w:tc>
      </w:tr>
      <w:tr w:rsidR="00A521EA" w:rsidRPr="00A521EA" w14:paraId="6FEF786E" w14:textId="77777777" w:rsidTr="002C77D2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5A6C4C68" w14:textId="77777777" w:rsidR="002C77D2" w:rsidRPr="00A521EA" w:rsidRDefault="002C77D2">
            <w:pPr>
              <w:jc w:val="center"/>
              <w:rPr>
                <w:rFonts w:eastAsia="Times New Roman" w:cs="Times New Roman"/>
                <w:b/>
                <w:bCs/>
                <w:strike/>
                <w:sz w:val="18"/>
                <w:szCs w:val="18"/>
              </w:rPr>
            </w:pPr>
          </w:p>
        </w:tc>
        <w:tc>
          <w:tcPr>
            <w:tcW w:w="865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BC0DDF" w14:textId="1ECB05BC" w:rsidR="002C77D2" w:rsidRPr="00A521EA" w:rsidRDefault="002C77D2">
            <w:pPr>
              <w:rPr>
                <w:rFonts w:eastAsia="Times New Roman" w:cs="Times New Roman"/>
                <w:b/>
                <w:bCs/>
                <w:iCs/>
                <w:sz w:val="16"/>
                <w:szCs w:val="16"/>
              </w:rPr>
            </w:pPr>
            <w:r w:rsidRPr="00A521EA">
              <w:rPr>
                <w:rFonts w:eastAsia="Times New Roman" w:cs="Times New Roman"/>
                <w:b/>
                <w:bCs/>
                <w:iCs/>
                <w:sz w:val="16"/>
                <w:szCs w:val="16"/>
              </w:rPr>
              <w:t>IMPEGNI AGGIUNTIVI ASSUNTI CON LA SOTTOSCRIZIONE DI SPECIFICI ACCORDI DI FILIERA CONDIVISI CON ALTRI SOGGETTI  COINVOLTI NELL’ATTUAZIONE DELLA FILIERA</w:t>
            </w:r>
          </w:p>
        </w:tc>
        <w:tc>
          <w:tcPr>
            <w:tcW w:w="70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6CE08E" w14:textId="52D44614" w:rsidR="002C77D2" w:rsidRPr="00A521EA" w:rsidRDefault="002C77D2" w:rsidP="00CE540F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A521EA" w:rsidRPr="00A521EA" w14:paraId="48F4D5B2" w14:textId="308CA69A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B0" w14:textId="77777777" w:rsidR="004B17C7" w:rsidRPr="00A521EA" w:rsidRDefault="004B17C7">
            <w:pPr>
              <w:jc w:val="center"/>
              <w:rPr>
                <w:rFonts w:eastAsia="Times New Roman" w:cs="Times New Roman"/>
                <w:b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trike/>
                <w:sz w:val="18"/>
                <w:szCs w:val="18"/>
              </w:rPr>
              <w:t>1</w:t>
            </w:r>
          </w:p>
        </w:tc>
        <w:tc>
          <w:tcPr>
            <w:tcW w:w="865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  <w:vAlign w:val="center"/>
          </w:tcPr>
          <w:p w14:paraId="48F4D5B1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strike/>
                <w:sz w:val="18"/>
                <w:szCs w:val="18"/>
                <w:vertAlign w:val="superscript"/>
              </w:rPr>
            </w:pPr>
            <w:r w:rsidRPr="00A521EA">
              <w:rPr>
                <w:rFonts w:eastAsia="Times New Roman" w:cs="Times New Roman"/>
                <w:b/>
                <w:bCs/>
                <w:strike/>
                <w:sz w:val="18"/>
                <w:szCs w:val="18"/>
              </w:rPr>
              <w:t xml:space="preserve">Recupero fontanili  </w:t>
            </w:r>
            <w:r w:rsidRPr="00A521EA">
              <w:rPr>
                <w:rFonts w:eastAsia="Times New Roman" w:cs="Times New Roman"/>
                <w:b/>
                <w:bCs/>
                <w:strike/>
                <w:sz w:val="18"/>
                <w:szCs w:val="18"/>
                <w:vertAlign w:val="superscript"/>
              </w:rPr>
              <w:t>1/3</w:t>
            </w:r>
          </w:p>
        </w:tc>
        <w:tc>
          <w:tcPr>
            <w:tcW w:w="70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</w:tcPr>
          <w:p w14:paraId="1EE02755" w14:textId="77777777" w:rsidR="004B17C7" w:rsidRPr="00A521EA" w:rsidRDefault="004B17C7" w:rsidP="00CE540F">
            <w:pPr>
              <w:jc w:val="center"/>
              <w:rPr>
                <w:rFonts w:eastAsia="Times New Roman" w:cs="Times New Roman"/>
                <w:b/>
                <w:bCs/>
                <w:strike/>
                <w:sz w:val="18"/>
                <w:szCs w:val="18"/>
              </w:rPr>
            </w:pPr>
          </w:p>
        </w:tc>
      </w:tr>
      <w:tr w:rsidR="00A521EA" w:rsidRPr="00A521EA" w14:paraId="48F4D5B5" w14:textId="4D8CE72C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B3" w14:textId="77777777" w:rsidR="004B17C7" w:rsidRPr="00A521EA" w:rsidRDefault="004B17C7">
            <w:pPr>
              <w:jc w:val="center"/>
              <w:rPr>
                <w:rFonts w:eastAsia="Times New Roman" w:cs="Times New Roman"/>
                <w:b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trike/>
                <w:sz w:val="18"/>
                <w:szCs w:val="18"/>
              </w:rPr>
              <w:t>1.1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B4" w14:textId="77777777" w:rsidR="004B17C7" w:rsidRPr="00A521EA" w:rsidRDefault="004B17C7">
            <w:pPr>
              <w:rPr>
                <w:rFonts w:eastAsia="Times New Roman" w:cs="Times New Roman"/>
                <w:b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strike/>
                <w:sz w:val="18"/>
                <w:szCs w:val="18"/>
              </w:rPr>
              <w:t>Tipologia dell’intervento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18D5110" w14:textId="77777777" w:rsidR="004B17C7" w:rsidRPr="00A521EA" w:rsidRDefault="004B17C7" w:rsidP="00CE540F">
            <w:pPr>
              <w:jc w:val="center"/>
              <w:rPr>
                <w:rFonts w:eastAsia="Times New Roman" w:cs="Times New Roman"/>
                <w:b/>
                <w:strike/>
                <w:sz w:val="18"/>
                <w:szCs w:val="18"/>
              </w:rPr>
            </w:pPr>
          </w:p>
        </w:tc>
      </w:tr>
      <w:tr w:rsidR="00A521EA" w:rsidRPr="00A521EA" w14:paraId="48F4D5B8" w14:textId="1E90B3E4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B6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1.1.a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B7" w14:textId="77777777" w:rsidR="004B17C7" w:rsidRPr="00A521EA" w:rsidRDefault="004B17C7">
            <w:pPr>
              <w:rPr>
                <w:rFonts w:eastAsia="Times New Roman" w:cs="Times New Roman"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>ripristino funzionalità idraulica testa e asta fontanile + rinaturalizzazione (vegetazione)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051E707" w14:textId="77777777" w:rsidR="004B17C7" w:rsidRPr="00A521EA" w:rsidRDefault="004B17C7" w:rsidP="00CE540F">
            <w:pPr>
              <w:jc w:val="center"/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5BB" w14:textId="3610DACA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B9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1.1.b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BA" w14:textId="77777777" w:rsidR="004B17C7" w:rsidRPr="00A521EA" w:rsidRDefault="004B17C7">
            <w:pPr>
              <w:rPr>
                <w:rFonts w:eastAsia="Times New Roman" w:cs="Times New Roman"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 xml:space="preserve">ripristino funzionalità idraulica testa e asta fontanile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A63EDD" w14:textId="77777777" w:rsidR="004B17C7" w:rsidRPr="00A521EA" w:rsidRDefault="004B17C7" w:rsidP="00CE540F">
            <w:pPr>
              <w:jc w:val="center"/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5BE" w14:textId="79D39808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BC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1.1.c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BD" w14:textId="77777777" w:rsidR="004B17C7" w:rsidRPr="00A521EA" w:rsidRDefault="004B17C7">
            <w:pPr>
              <w:rPr>
                <w:rFonts w:eastAsia="Times New Roman" w:cs="Times New Roman"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>ripristino funzionalità idraulica testa o asta fontanile + rinaturalizzazione (vegetazione)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57C6FD4" w14:textId="77777777" w:rsidR="004B17C7" w:rsidRPr="00A521EA" w:rsidRDefault="004B17C7" w:rsidP="00CE540F">
            <w:pPr>
              <w:jc w:val="center"/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5C1" w14:textId="29B1C3B4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BF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1.1.d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C0" w14:textId="77777777" w:rsidR="004B17C7" w:rsidRPr="00A521EA" w:rsidRDefault="004B17C7">
            <w:pPr>
              <w:rPr>
                <w:rFonts w:eastAsia="Times New Roman" w:cs="Times New Roman"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 xml:space="preserve">ripristino funzionalità idraulica testa o asta fontanile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ADA536" w14:textId="77777777" w:rsidR="004B17C7" w:rsidRPr="00A521EA" w:rsidRDefault="004B17C7" w:rsidP="00CE540F">
            <w:pPr>
              <w:jc w:val="center"/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5C4" w14:textId="6B37A92A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C2" w14:textId="77777777" w:rsidR="004B17C7" w:rsidRPr="00A521EA" w:rsidRDefault="004B17C7">
            <w:pPr>
              <w:jc w:val="center"/>
              <w:rPr>
                <w:rFonts w:eastAsia="Times New Roman" w:cs="Times New Roman"/>
                <w:b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trike/>
                <w:sz w:val="18"/>
                <w:szCs w:val="18"/>
              </w:rPr>
              <w:t xml:space="preserve">1.2 </w:t>
            </w:r>
          </w:p>
        </w:tc>
        <w:tc>
          <w:tcPr>
            <w:tcW w:w="865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  <w:vAlign w:val="center"/>
          </w:tcPr>
          <w:p w14:paraId="48F4D5C3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strike/>
                <w:sz w:val="18"/>
                <w:szCs w:val="18"/>
                <w:vertAlign w:val="superscript"/>
              </w:rPr>
            </w:pPr>
            <w:r w:rsidRPr="00A521EA">
              <w:rPr>
                <w:rFonts w:eastAsia="Times New Roman" w:cs="Times New Roman"/>
                <w:b/>
                <w:bCs/>
                <w:strike/>
                <w:sz w:val="18"/>
                <w:szCs w:val="18"/>
              </w:rPr>
              <w:t xml:space="preserve">numero fontanili interessati dall'intervento </w:t>
            </w:r>
            <w:r w:rsidRPr="00A521EA">
              <w:rPr>
                <w:rFonts w:eastAsia="Times New Roman" w:cs="Times New Roman"/>
                <w:b/>
                <w:bCs/>
                <w:strike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</w:tcPr>
          <w:p w14:paraId="5161A824" w14:textId="77777777" w:rsidR="004B17C7" w:rsidRPr="00A521EA" w:rsidRDefault="004B17C7" w:rsidP="00CE540F">
            <w:pPr>
              <w:jc w:val="center"/>
              <w:rPr>
                <w:rFonts w:eastAsia="Times New Roman" w:cs="Times New Roman"/>
                <w:b/>
                <w:bCs/>
                <w:strike/>
                <w:sz w:val="18"/>
                <w:szCs w:val="18"/>
              </w:rPr>
            </w:pPr>
          </w:p>
        </w:tc>
      </w:tr>
      <w:tr w:rsidR="00A521EA" w:rsidRPr="00A521EA" w14:paraId="48F4D5C7" w14:textId="4A1D1766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C5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1.2.a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C6" w14:textId="77777777" w:rsidR="004B17C7" w:rsidRPr="00A521EA" w:rsidRDefault="004B17C7">
            <w:pPr>
              <w:rPr>
                <w:rFonts w:eastAsia="Times New Roman" w:cs="Times New Roman"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>più di 3 fontanili recuperati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177713" w14:textId="77777777" w:rsidR="004B17C7" w:rsidRPr="00A521EA" w:rsidRDefault="004B17C7" w:rsidP="00CE540F">
            <w:pPr>
              <w:jc w:val="center"/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5CA" w14:textId="766B81C6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C8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1.2.b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C9" w14:textId="77777777" w:rsidR="004B17C7" w:rsidRPr="00A521EA" w:rsidRDefault="004B17C7">
            <w:pPr>
              <w:rPr>
                <w:rFonts w:eastAsia="Times New Roman" w:cs="Times New Roman"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>da 2 a 3 fontanili recuperati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5E91C0" w14:textId="77777777" w:rsidR="004B17C7" w:rsidRPr="00A521EA" w:rsidRDefault="004B17C7" w:rsidP="00CE540F">
            <w:pPr>
              <w:jc w:val="center"/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5CD" w14:textId="1303545E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CB" w14:textId="77777777" w:rsidR="004B17C7" w:rsidRPr="00A521EA" w:rsidRDefault="004B17C7">
            <w:pPr>
              <w:jc w:val="center"/>
              <w:rPr>
                <w:rFonts w:eastAsia="Times New Roman" w:cs="Times New Roman"/>
                <w:b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trike/>
                <w:sz w:val="18"/>
                <w:szCs w:val="18"/>
              </w:rPr>
              <w:t>2</w:t>
            </w:r>
          </w:p>
        </w:tc>
        <w:tc>
          <w:tcPr>
            <w:tcW w:w="865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  <w:vAlign w:val="center"/>
          </w:tcPr>
          <w:p w14:paraId="48F4D5CC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strike/>
                <w:sz w:val="18"/>
                <w:szCs w:val="18"/>
                <w:vertAlign w:val="superscript"/>
              </w:rPr>
            </w:pPr>
            <w:r w:rsidRPr="00A521EA">
              <w:rPr>
                <w:rFonts w:eastAsia="Times New Roman" w:cs="Times New Roman"/>
                <w:b/>
                <w:bCs/>
                <w:strike/>
                <w:sz w:val="18"/>
                <w:szCs w:val="18"/>
              </w:rPr>
              <w:t xml:space="preserve">Numero delle specie e lunghezza per la realizzazione di fasce tampone boscate </w:t>
            </w:r>
            <w:r w:rsidRPr="00A521EA">
              <w:rPr>
                <w:rFonts w:eastAsia="Times New Roman" w:cs="Times New Roman"/>
                <w:b/>
                <w:bCs/>
                <w:strike/>
                <w:sz w:val="18"/>
                <w:szCs w:val="18"/>
                <w:vertAlign w:val="superscript"/>
              </w:rPr>
              <w:t>1/4</w:t>
            </w:r>
          </w:p>
        </w:tc>
        <w:tc>
          <w:tcPr>
            <w:tcW w:w="70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</w:tcPr>
          <w:p w14:paraId="01C85160" w14:textId="77777777" w:rsidR="004B17C7" w:rsidRPr="00A521EA" w:rsidRDefault="004B17C7" w:rsidP="00CE540F">
            <w:pPr>
              <w:jc w:val="center"/>
              <w:rPr>
                <w:rFonts w:eastAsia="Times New Roman" w:cs="Times New Roman"/>
                <w:b/>
                <w:bCs/>
                <w:strike/>
                <w:sz w:val="18"/>
                <w:szCs w:val="18"/>
              </w:rPr>
            </w:pPr>
          </w:p>
        </w:tc>
      </w:tr>
      <w:tr w:rsidR="00A521EA" w:rsidRPr="00A521EA" w14:paraId="48F4D5D0" w14:textId="7B8380DD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CE" w14:textId="77777777" w:rsidR="004B17C7" w:rsidRPr="00A521EA" w:rsidRDefault="004B17C7">
            <w:pPr>
              <w:jc w:val="center"/>
              <w:rPr>
                <w:rFonts w:eastAsia="Times New Roman" w:cs="Times New Roman"/>
                <w:b/>
                <w:bCs/>
                <w:i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iCs/>
                <w:strike/>
                <w:sz w:val="18"/>
                <w:szCs w:val="18"/>
              </w:rPr>
              <w:t>2.1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CF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strike/>
                <w:sz w:val="18"/>
                <w:szCs w:val="18"/>
                <w:vertAlign w:val="superscript"/>
              </w:rPr>
            </w:pPr>
            <w:r w:rsidRPr="00A521EA">
              <w:rPr>
                <w:rFonts w:eastAsia="Times New Roman" w:cs="Times New Roman"/>
                <w:b/>
                <w:bCs/>
                <w:iCs/>
                <w:strike/>
                <w:sz w:val="18"/>
                <w:szCs w:val="18"/>
              </w:rPr>
              <w:t xml:space="preserve">numero specie utilizzate </w:t>
            </w:r>
            <w:r w:rsidRPr="00A521EA">
              <w:rPr>
                <w:rFonts w:eastAsia="Times New Roman" w:cs="Times New Roman"/>
                <w:b/>
                <w:bCs/>
                <w:strike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F39711" w14:textId="77777777" w:rsidR="004B17C7" w:rsidRPr="00A521EA" w:rsidRDefault="004B17C7" w:rsidP="00CE540F">
            <w:pPr>
              <w:jc w:val="center"/>
              <w:rPr>
                <w:rFonts w:eastAsia="Times New Roman" w:cs="Times New Roman"/>
                <w:b/>
                <w:bCs/>
                <w:iCs/>
                <w:strike/>
                <w:sz w:val="18"/>
                <w:szCs w:val="18"/>
              </w:rPr>
            </w:pPr>
          </w:p>
        </w:tc>
      </w:tr>
      <w:tr w:rsidR="00A521EA" w:rsidRPr="00A521EA" w14:paraId="48F4D5D3" w14:textId="5B47D7D6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D1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2.1.a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D2" w14:textId="77777777" w:rsidR="004B17C7" w:rsidRPr="00A521EA" w:rsidRDefault="004B17C7">
            <w:pPr>
              <w:ind w:left="497"/>
              <w:rPr>
                <w:rFonts w:eastAsia="Times New Roman" w:cs="Times New Roman"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>Oltre 8 specie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E301E1B" w14:textId="77777777" w:rsidR="004B17C7" w:rsidRPr="00A521EA" w:rsidRDefault="004B17C7" w:rsidP="00CE540F">
            <w:pPr>
              <w:ind w:left="497"/>
              <w:jc w:val="center"/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5D6" w14:textId="76AB242D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D4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2.1.b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D5" w14:textId="77777777" w:rsidR="004B17C7" w:rsidRPr="00A521EA" w:rsidRDefault="004B17C7">
            <w:pPr>
              <w:ind w:left="497"/>
              <w:rPr>
                <w:rFonts w:eastAsia="Times New Roman" w:cs="Times New Roman"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>Da 8 a 4 specie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97CB36" w14:textId="77777777" w:rsidR="004B17C7" w:rsidRPr="00A521EA" w:rsidRDefault="004B17C7" w:rsidP="00CE540F">
            <w:pPr>
              <w:ind w:left="497"/>
              <w:jc w:val="center"/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5D9" w14:textId="5CE9365F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D7" w14:textId="77777777" w:rsidR="004B17C7" w:rsidRPr="00A521EA" w:rsidRDefault="004B17C7">
            <w:pPr>
              <w:jc w:val="center"/>
              <w:rPr>
                <w:rFonts w:eastAsia="Times New Roman" w:cs="Times New Roman"/>
                <w:b/>
                <w:bCs/>
                <w:i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iCs/>
                <w:strike/>
                <w:sz w:val="18"/>
                <w:szCs w:val="18"/>
              </w:rPr>
              <w:t>2.2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D8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strike/>
                <w:sz w:val="18"/>
                <w:szCs w:val="18"/>
                <w:vertAlign w:val="superscript"/>
              </w:rPr>
            </w:pPr>
            <w:r w:rsidRPr="00A521EA">
              <w:rPr>
                <w:rFonts w:eastAsia="Times New Roman" w:cs="Times New Roman"/>
                <w:b/>
                <w:bCs/>
                <w:iCs/>
                <w:strike/>
                <w:sz w:val="18"/>
                <w:szCs w:val="18"/>
              </w:rPr>
              <w:t xml:space="preserve">lunghezza della fascia tampone </w:t>
            </w:r>
            <w:r w:rsidRPr="00A521EA">
              <w:rPr>
                <w:rFonts w:eastAsia="Times New Roman" w:cs="Times New Roman"/>
                <w:b/>
                <w:bCs/>
                <w:strike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D7CCD9" w14:textId="77777777" w:rsidR="004B17C7" w:rsidRPr="00A521EA" w:rsidRDefault="004B17C7" w:rsidP="00CE540F">
            <w:pPr>
              <w:jc w:val="center"/>
              <w:rPr>
                <w:rFonts w:eastAsia="Times New Roman" w:cs="Times New Roman"/>
                <w:b/>
                <w:bCs/>
                <w:iCs/>
                <w:strike/>
                <w:sz w:val="18"/>
                <w:szCs w:val="18"/>
              </w:rPr>
            </w:pPr>
          </w:p>
        </w:tc>
      </w:tr>
      <w:tr w:rsidR="00A521EA" w:rsidRPr="00A521EA" w14:paraId="48F4D5DC" w14:textId="50F56388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DA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2.2.a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DB" w14:textId="77777777" w:rsidR="004B17C7" w:rsidRPr="00A521EA" w:rsidRDefault="004B17C7">
            <w:pPr>
              <w:ind w:left="497"/>
              <w:rPr>
                <w:rFonts w:eastAsia="Times New Roman" w:cs="Times New Roman"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>lunghezza oltre 300 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F845B9" w14:textId="77777777" w:rsidR="004B17C7" w:rsidRPr="00A521EA" w:rsidRDefault="004B17C7" w:rsidP="00CE540F">
            <w:pPr>
              <w:ind w:left="497"/>
              <w:jc w:val="center"/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5DF" w14:textId="29BBA35E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DD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2.2.b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DE" w14:textId="77777777" w:rsidR="004B17C7" w:rsidRPr="00A521EA" w:rsidRDefault="004B17C7">
            <w:pPr>
              <w:ind w:left="497"/>
              <w:rPr>
                <w:rFonts w:eastAsia="Times New Roman" w:cs="Times New Roman"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>lunghezza da 300 m a 200 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771CCD" w14:textId="77777777" w:rsidR="004B17C7" w:rsidRPr="00A521EA" w:rsidRDefault="004B17C7" w:rsidP="00CE540F">
            <w:pPr>
              <w:ind w:left="497"/>
              <w:jc w:val="center"/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5E2" w14:textId="42F30AF7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E0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2.2.c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E1" w14:textId="77777777" w:rsidR="004B17C7" w:rsidRPr="00A521EA" w:rsidRDefault="004B17C7">
            <w:pPr>
              <w:ind w:left="497"/>
              <w:rPr>
                <w:rFonts w:eastAsia="Times New Roman" w:cs="Times New Roman"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>lunghezza da meno di 200 m a 100 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F88412" w14:textId="77777777" w:rsidR="004B17C7" w:rsidRPr="00A521EA" w:rsidRDefault="004B17C7" w:rsidP="00CE540F">
            <w:pPr>
              <w:ind w:left="497"/>
              <w:jc w:val="center"/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5E5" w14:textId="41EAA115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E3" w14:textId="77777777" w:rsidR="004B17C7" w:rsidRPr="00A521EA" w:rsidRDefault="004B17C7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65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  <w:vAlign w:val="center"/>
          </w:tcPr>
          <w:p w14:paraId="48F4D5E4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Dimensione delle pozze di abbeverata e aree umide </w:t>
            </w:r>
            <w:r w:rsidRPr="00A521EA">
              <w:rPr>
                <w:rFonts w:eastAsia="Times New Roman" w:cs="Times New Roman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</w:tcPr>
          <w:p w14:paraId="61327952" w14:textId="29A48AA2" w:rsidR="004B17C7" w:rsidRPr="00A521EA" w:rsidRDefault="002C77D2" w:rsidP="00CE540F">
            <w:pPr>
              <w:jc w:val="right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4</w:t>
            </w:r>
            <w:r w:rsidR="00CE540F"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521EA" w:rsidRPr="00A521EA" w14:paraId="48F4D5E8" w14:textId="59CA416D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E6" w14:textId="77777777" w:rsidR="004B17C7" w:rsidRPr="00A521EA" w:rsidRDefault="004B17C7">
            <w:pPr>
              <w:jc w:val="center"/>
              <w:rPr>
                <w:rFonts w:eastAsia="Times New Roman" w:cs="Times New Roman"/>
                <w:b/>
                <w:bCs/>
                <w:i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iCs/>
                <w:strike/>
                <w:sz w:val="18"/>
                <w:szCs w:val="18"/>
              </w:rPr>
              <w:t>3.1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E7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i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iCs/>
                <w:strike/>
                <w:sz w:val="18"/>
                <w:szCs w:val="18"/>
              </w:rPr>
              <w:t>Aree umide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3CDF2B" w14:textId="77777777" w:rsidR="004B17C7" w:rsidRPr="00A521EA" w:rsidRDefault="004B17C7" w:rsidP="00CE540F">
            <w:pPr>
              <w:rPr>
                <w:rFonts w:eastAsia="Times New Roman" w:cs="Times New Roman"/>
                <w:b/>
                <w:bCs/>
                <w:iCs/>
                <w:strike/>
                <w:sz w:val="18"/>
                <w:szCs w:val="18"/>
              </w:rPr>
            </w:pPr>
          </w:p>
        </w:tc>
      </w:tr>
      <w:tr w:rsidR="00A521EA" w:rsidRPr="00A521EA" w14:paraId="48F4D5EB" w14:textId="0AEB0C7C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E9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3.1.a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EA" w14:textId="77777777" w:rsidR="004B17C7" w:rsidRPr="00A521EA" w:rsidRDefault="004B17C7">
            <w:pPr>
              <w:ind w:left="497"/>
              <w:rPr>
                <w:rFonts w:eastAsia="Times New Roman" w:cs="Times New Roman"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>aree umide: oltre 3.000 mq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64A9862" w14:textId="77777777" w:rsidR="004B17C7" w:rsidRPr="00A521EA" w:rsidRDefault="004B17C7" w:rsidP="00CE540F">
            <w:pPr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5EE" w14:textId="4252615F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EC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3.1.b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ED" w14:textId="77777777" w:rsidR="004B17C7" w:rsidRPr="00A521EA" w:rsidRDefault="004B17C7">
            <w:pPr>
              <w:ind w:left="497"/>
              <w:rPr>
                <w:rFonts w:eastAsia="Times New Roman" w:cs="Times New Roman"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>aree umide: da 2.000 a 3.000 mq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D6E4051" w14:textId="77777777" w:rsidR="004B17C7" w:rsidRPr="00A521EA" w:rsidRDefault="004B17C7" w:rsidP="00CE540F">
            <w:pPr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5F1" w14:textId="4FE998DB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EF" w14:textId="77777777" w:rsidR="004B17C7" w:rsidRPr="00A521EA" w:rsidRDefault="004B17C7">
            <w:pPr>
              <w:jc w:val="center"/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>3.2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F0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>Pozze di abbeverata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F99E173" w14:textId="56DF2DF7" w:rsidR="004B17C7" w:rsidRPr="00A521EA" w:rsidRDefault="004B17C7" w:rsidP="00CE540F">
            <w:pPr>
              <w:jc w:val="right"/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>3</w:t>
            </w:r>
            <w:r w:rsidR="002C77D2" w:rsidRPr="00A521EA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>0</w:t>
            </w:r>
          </w:p>
        </w:tc>
      </w:tr>
      <w:tr w:rsidR="00A521EA" w:rsidRPr="00A521EA" w14:paraId="48F4D5F4" w14:textId="7D283751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F2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z w:val="18"/>
                <w:szCs w:val="18"/>
              </w:rPr>
              <w:t>3.2.a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F3" w14:textId="28AE1B8C" w:rsidR="004B17C7" w:rsidRPr="00A521EA" w:rsidRDefault="004B17C7">
            <w:pPr>
              <w:ind w:left="497"/>
              <w:rPr>
                <w:rFonts w:eastAsia="Times New Roman" w:cs="Times New Roman"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z w:val="18"/>
                <w:szCs w:val="18"/>
              </w:rPr>
              <w:t xml:space="preserve">realizzazione/ripristino funzionalità pozze abbeverata completamente interrate o in fase di interramento: oltre </w:t>
            </w:r>
            <w:r w:rsidR="006838B2" w:rsidRPr="00A521EA">
              <w:rPr>
                <w:rFonts w:eastAsia="Times New Roman" w:cs="Times New Roman"/>
                <w:sz w:val="18"/>
                <w:szCs w:val="18"/>
              </w:rPr>
              <w:t>200</w:t>
            </w:r>
            <w:r w:rsidRPr="00A521EA">
              <w:rPr>
                <w:rFonts w:eastAsia="Times New Roman" w:cs="Times New Roman"/>
                <w:sz w:val="18"/>
                <w:szCs w:val="18"/>
              </w:rPr>
              <w:t xml:space="preserve"> mq di superficie (anche in più interventi)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E7E64B" w14:textId="77777777" w:rsidR="00CE540F" w:rsidRPr="00A521EA" w:rsidRDefault="00CE540F" w:rsidP="00CE540F">
            <w:pPr>
              <w:rPr>
                <w:rFonts w:eastAsia="Times New Roman" w:cs="Times New Roman"/>
                <w:b/>
                <w:sz w:val="18"/>
                <w:szCs w:val="18"/>
              </w:rPr>
            </w:pPr>
          </w:p>
          <w:p w14:paraId="0ADF1F62" w14:textId="15775C98" w:rsidR="004B17C7" w:rsidRPr="00A521EA" w:rsidRDefault="00CE540F" w:rsidP="00CE540F">
            <w:pPr>
              <w:rPr>
                <w:rFonts w:eastAsia="Times New Roman" w:cs="Times New Roman"/>
                <w:b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sz w:val="18"/>
                <w:szCs w:val="18"/>
              </w:rPr>
              <w:t>3</w:t>
            </w:r>
            <w:r w:rsidR="002C77D2" w:rsidRPr="00A521EA">
              <w:rPr>
                <w:rFonts w:eastAsia="Times New Roman" w:cs="Times New Roman"/>
                <w:b/>
                <w:sz w:val="18"/>
                <w:szCs w:val="18"/>
              </w:rPr>
              <w:t>0</w:t>
            </w:r>
          </w:p>
        </w:tc>
      </w:tr>
      <w:tr w:rsidR="00A521EA" w:rsidRPr="00A521EA" w14:paraId="48F4D5F7" w14:textId="366B28AA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F5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z w:val="18"/>
                <w:szCs w:val="18"/>
              </w:rPr>
              <w:t>3.2.b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F6" w14:textId="1369D317" w:rsidR="004B17C7" w:rsidRPr="00A521EA" w:rsidRDefault="004B17C7">
            <w:pPr>
              <w:ind w:left="497"/>
              <w:rPr>
                <w:rFonts w:eastAsia="Times New Roman" w:cs="Times New Roman"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z w:val="18"/>
                <w:szCs w:val="18"/>
              </w:rPr>
              <w:t xml:space="preserve">realizzazione/ripristino funzionalità pozze abbeverata completamente interrate o in fase di interramento: da </w:t>
            </w:r>
            <w:r w:rsidR="006838B2" w:rsidRPr="00A521EA">
              <w:rPr>
                <w:rFonts w:eastAsia="Times New Roman" w:cs="Times New Roman"/>
                <w:sz w:val="18"/>
                <w:szCs w:val="18"/>
              </w:rPr>
              <w:t>100</w:t>
            </w:r>
            <w:r w:rsidRPr="00A521EA">
              <w:rPr>
                <w:rFonts w:eastAsia="Times New Roman" w:cs="Times New Roman"/>
                <w:sz w:val="18"/>
                <w:szCs w:val="18"/>
              </w:rPr>
              <w:t xml:space="preserve"> a </w:t>
            </w:r>
            <w:r w:rsidR="006838B2" w:rsidRPr="00A521EA">
              <w:rPr>
                <w:rFonts w:eastAsia="Times New Roman" w:cs="Times New Roman"/>
                <w:sz w:val="18"/>
                <w:szCs w:val="18"/>
              </w:rPr>
              <w:t>200</w:t>
            </w:r>
            <w:r w:rsidRPr="00A521EA">
              <w:rPr>
                <w:rFonts w:eastAsia="Times New Roman" w:cs="Times New Roman"/>
                <w:sz w:val="18"/>
                <w:szCs w:val="18"/>
              </w:rPr>
              <w:t xml:space="preserve"> mq di superficie (anche in più interventi)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99B4D0E" w14:textId="77777777" w:rsidR="00CE540F" w:rsidRPr="00A521EA" w:rsidRDefault="00CE540F" w:rsidP="00CE540F">
            <w:pPr>
              <w:rPr>
                <w:rFonts w:eastAsia="Times New Roman" w:cs="Times New Roman"/>
                <w:b/>
                <w:sz w:val="18"/>
                <w:szCs w:val="18"/>
              </w:rPr>
            </w:pPr>
          </w:p>
          <w:p w14:paraId="4803D108" w14:textId="47E865EF" w:rsidR="004B17C7" w:rsidRPr="00A521EA" w:rsidRDefault="00CE540F" w:rsidP="00CE540F">
            <w:pPr>
              <w:rPr>
                <w:rFonts w:eastAsia="Times New Roman" w:cs="Times New Roman"/>
                <w:b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sz w:val="18"/>
                <w:szCs w:val="18"/>
              </w:rPr>
              <w:t>25</w:t>
            </w:r>
          </w:p>
        </w:tc>
      </w:tr>
      <w:tr w:rsidR="00A521EA" w:rsidRPr="00A521EA" w14:paraId="48F4D5FA" w14:textId="1BE2E100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F8" w14:textId="77777777" w:rsidR="004B17C7" w:rsidRPr="00A521EA" w:rsidRDefault="004B17C7">
            <w:pPr>
              <w:jc w:val="center"/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>3.3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F9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>Altre strutture per l'abbeverata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DE8694" w14:textId="78CCF41C" w:rsidR="004B17C7" w:rsidRPr="00A521EA" w:rsidRDefault="004B17C7" w:rsidP="00CE540F">
            <w:pPr>
              <w:jc w:val="right"/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>1</w:t>
            </w:r>
            <w:r w:rsidR="002C77D2" w:rsidRPr="00A521EA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>0</w:t>
            </w:r>
          </w:p>
        </w:tc>
      </w:tr>
      <w:tr w:rsidR="00A521EA" w:rsidRPr="00A521EA" w14:paraId="48F4D5FD" w14:textId="68E329CC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FB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z w:val="18"/>
                <w:szCs w:val="18"/>
              </w:rPr>
              <w:t>3.3.a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FC" w14:textId="77777777" w:rsidR="004B17C7" w:rsidRPr="00A521EA" w:rsidRDefault="004B17C7">
            <w:pPr>
              <w:ind w:left="497"/>
              <w:rPr>
                <w:rFonts w:eastAsia="Times New Roman" w:cs="Times New Roman"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z w:val="18"/>
                <w:szCs w:val="18"/>
              </w:rPr>
              <w:t>ripristino/realizzazione di altre strutture per l'abbeverata: oltre 4 mc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DC76627" w14:textId="3E5BBB83" w:rsidR="004B17C7" w:rsidRPr="00A521EA" w:rsidRDefault="00CE540F" w:rsidP="00CE540F">
            <w:pPr>
              <w:rPr>
                <w:rFonts w:eastAsia="Times New Roman" w:cs="Times New Roman"/>
                <w:b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sz w:val="18"/>
                <w:szCs w:val="18"/>
              </w:rPr>
              <w:t>1</w:t>
            </w:r>
            <w:r w:rsidR="002C77D2" w:rsidRPr="00A521EA">
              <w:rPr>
                <w:rFonts w:eastAsia="Times New Roman" w:cs="Times New Roman"/>
                <w:b/>
                <w:sz w:val="18"/>
                <w:szCs w:val="18"/>
              </w:rPr>
              <w:t>0</w:t>
            </w:r>
          </w:p>
        </w:tc>
      </w:tr>
      <w:tr w:rsidR="00A521EA" w:rsidRPr="00A521EA" w14:paraId="48F4D600" w14:textId="73F83199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48F4D5FE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z w:val="18"/>
                <w:szCs w:val="18"/>
              </w:rPr>
              <w:t>3.3.b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5FF" w14:textId="77777777" w:rsidR="004B17C7" w:rsidRPr="00A521EA" w:rsidRDefault="004B17C7">
            <w:pPr>
              <w:ind w:left="497"/>
              <w:rPr>
                <w:rFonts w:eastAsia="Times New Roman" w:cs="Times New Roman"/>
                <w:sz w:val="18"/>
                <w:szCs w:val="18"/>
              </w:rPr>
            </w:pPr>
            <w:r w:rsidRPr="00A521EA">
              <w:rPr>
                <w:rFonts w:eastAsia="Times New Roman" w:cs="Times New Roman"/>
                <w:sz w:val="18"/>
                <w:szCs w:val="18"/>
              </w:rPr>
              <w:t>ripristino/realizzazione di altre strutture per l'abbeverata: da 2 a 4 mc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93A967" w14:textId="3E53507F" w:rsidR="004B17C7" w:rsidRPr="00A521EA" w:rsidRDefault="002C77D2" w:rsidP="00CE540F">
            <w:pPr>
              <w:rPr>
                <w:rFonts w:eastAsia="Times New Roman" w:cs="Times New Roman"/>
                <w:b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sz w:val="18"/>
                <w:szCs w:val="18"/>
              </w:rPr>
              <w:t>5</w:t>
            </w:r>
          </w:p>
        </w:tc>
      </w:tr>
      <w:tr w:rsidR="00A521EA" w:rsidRPr="00A521EA" w14:paraId="48F4D603" w14:textId="72C5A45F" w:rsidTr="00CE540F">
        <w:trPr>
          <w:gridAfter w:val="1"/>
          <w:wAfter w:w="150" w:type="dxa"/>
          <w:trHeight w:val="20"/>
        </w:trPr>
        <w:tc>
          <w:tcPr>
            <w:tcW w:w="874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48F4D601" w14:textId="77777777" w:rsidR="004B17C7" w:rsidRPr="00A521EA" w:rsidRDefault="004B17C7" w:rsidP="00CE540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15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48F4D602" w14:textId="77777777" w:rsidR="004B17C7" w:rsidRPr="00A521EA" w:rsidRDefault="004B17C7" w:rsidP="00CE540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109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233FCE65" w14:textId="77777777" w:rsidR="004B17C7" w:rsidRPr="00A521EA" w:rsidRDefault="004B17C7" w:rsidP="00CE540F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A521EA" w:rsidRPr="00A521EA" w14:paraId="48F4D606" w14:textId="161290E4" w:rsidTr="00CE540F">
        <w:trPr>
          <w:gridAfter w:val="1"/>
          <w:wAfter w:w="150" w:type="dxa"/>
          <w:trHeight w:val="20"/>
        </w:trPr>
        <w:tc>
          <w:tcPr>
            <w:tcW w:w="87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48F4D604" w14:textId="03EDFD11" w:rsidR="00CE540F" w:rsidRPr="00A521EA" w:rsidRDefault="00CE540F" w:rsidP="00CE540F">
            <w:pPr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Localizzazione dell’intervento</w:t>
            </w:r>
          </w:p>
        </w:tc>
        <w:tc>
          <w:tcPr>
            <w:tcW w:w="124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center"/>
          </w:tcPr>
          <w:p w14:paraId="614D40A9" w14:textId="529CC3F5" w:rsidR="00CE540F" w:rsidRPr="00A521EA" w:rsidRDefault="00CE540F" w:rsidP="00CE540F">
            <w:pPr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50</w:t>
            </w:r>
          </w:p>
        </w:tc>
      </w:tr>
      <w:tr w:rsidR="00A521EA" w:rsidRPr="00A521EA" w14:paraId="48F4D609" w14:textId="032ED4F5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48F4D607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z w:val="18"/>
                <w:szCs w:val="18"/>
              </w:rPr>
              <w:t>4.1</w:t>
            </w:r>
          </w:p>
        </w:tc>
        <w:tc>
          <w:tcPr>
            <w:tcW w:w="865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608" w14:textId="77777777" w:rsidR="004B17C7" w:rsidRPr="00A521EA" w:rsidRDefault="004B17C7">
            <w:pPr>
              <w:rPr>
                <w:rFonts w:eastAsia="Times New Roman" w:cs="Times New Roman"/>
                <w:bCs/>
                <w:sz w:val="18"/>
                <w:szCs w:val="18"/>
                <w:vertAlign w:val="superscript"/>
              </w:rPr>
            </w:pPr>
            <w:r w:rsidRPr="00A521EA">
              <w:rPr>
                <w:rFonts w:eastAsia="Times New Roman" w:cs="Times New Roman"/>
                <w:sz w:val="18"/>
                <w:szCs w:val="18"/>
              </w:rPr>
              <w:t xml:space="preserve">Aree Natura 2000 </w:t>
            </w:r>
            <w:r w:rsidRPr="00A521EA">
              <w:rPr>
                <w:rFonts w:eastAsia="Times New Roman" w:cs="Times New Roman"/>
                <w:bCs/>
                <w:sz w:val="18"/>
                <w:szCs w:val="18"/>
                <w:vertAlign w:val="superscript"/>
              </w:rPr>
              <w:t xml:space="preserve">5 </w:t>
            </w:r>
          </w:p>
        </w:tc>
        <w:tc>
          <w:tcPr>
            <w:tcW w:w="70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6AC5B86" w14:textId="2E96BF8C" w:rsidR="004B17C7" w:rsidRPr="00A521EA" w:rsidRDefault="00CE540F" w:rsidP="00CE540F">
            <w:pPr>
              <w:rPr>
                <w:rFonts w:eastAsia="Times New Roman" w:cs="Times New Roman"/>
                <w:b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sz w:val="18"/>
                <w:szCs w:val="18"/>
              </w:rPr>
              <w:t>50</w:t>
            </w:r>
          </w:p>
        </w:tc>
      </w:tr>
      <w:tr w:rsidR="00A521EA" w:rsidRPr="00A521EA" w14:paraId="48F4D60C" w14:textId="3243B100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48F4D60A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z w:val="18"/>
                <w:szCs w:val="18"/>
              </w:rPr>
              <w:t>4.2</w:t>
            </w: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60B" w14:textId="77777777" w:rsidR="004B17C7" w:rsidRPr="00A521EA" w:rsidRDefault="004B17C7">
            <w:pPr>
              <w:rPr>
                <w:rFonts w:eastAsia="Times New Roman" w:cs="Times New Roman"/>
                <w:bCs/>
                <w:sz w:val="18"/>
                <w:szCs w:val="18"/>
                <w:vertAlign w:val="superscript"/>
              </w:rPr>
            </w:pPr>
            <w:r w:rsidRPr="00A521EA">
              <w:rPr>
                <w:rFonts w:eastAsia="Times New Roman" w:cs="Times New Roman"/>
                <w:sz w:val="18"/>
                <w:szCs w:val="18"/>
              </w:rPr>
              <w:t xml:space="preserve">Aree protette </w:t>
            </w:r>
            <w:r w:rsidRPr="00A521EA">
              <w:rPr>
                <w:sz w:val="18"/>
                <w:szCs w:val="18"/>
              </w:rPr>
              <w:t>(</w:t>
            </w:r>
            <w:r w:rsidRPr="00A521EA">
              <w:rPr>
                <w:rFonts w:eastAsia="Times New Roman"/>
                <w:sz w:val="18"/>
                <w:szCs w:val="18"/>
              </w:rPr>
              <w:t>Parco regionale e nazionale, Parco naturale, Riserva naturale, Monumento naturale)</w:t>
            </w:r>
            <w:r w:rsidRPr="00A521EA">
              <w:rPr>
                <w:rFonts w:eastAsia="Times New Roman" w:cs="Times New Roman"/>
                <w:bCs/>
                <w:sz w:val="18"/>
                <w:szCs w:val="18"/>
                <w:vertAlign w:val="superscript"/>
              </w:rPr>
              <w:t xml:space="preserve">5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EA2231" w14:textId="0E718E3A" w:rsidR="004B17C7" w:rsidRPr="00A521EA" w:rsidRDefault="00CE540F" w:rsidP="00CE540F">
            <w:pPr>
              <w:rPr>
                <w:rFonts w:eastAsia="Times New Roman" w:cs="Times New Roman"/>
                <w:b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sz w:val="18"/>
                <w:szCs w:val="18"/>
              </w:rPr>
              <w:t>40</w:t>
            </w:r>
          </w:p>
        </w:tc>
      </w:tr>
      <w:tr w:rsidR="00A521EA" w:rsidRPr="00A521EA" w14:paraId="48F4D610" w14:textId="20D1893B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48F4D60D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z w:val="18"/>
                <w:szCs w:val="18"/>
              </w:rPr>
              <w:t>4.3</w:t>
            </w:r>
          </w:p>
          <w:p w14:paraId="48F4D60E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60F" w14:textId="77777777" w:rsidR="004B17C7" w:rsidRPr="00A521EA" w:rsidRDefault="004B17C7">
            <w:pPr>
              <w:rPr>
                <w:rFonts w:eastAsia="Times New Roman" w:cs="Times New Roman"/>
                <w:bCs/>
                <w:sz w:val="18"/>
                <w:szCs w:val="18"/>
                <w:vertAlign w:val="superscript"/>
              </w:rPr>
            </w:pPr>
            <w:r w:rsidRPr="00A521EA">
              <w:rPr>
                <w:rFonts w:eastAsia="Times New Roman" w:cs="Times New Roman"/>
                <w:sz w:val="18"/>
                <w:szCs w:val="18"/>
              </w:rPr>
              <w:t xml:space="preserve">Corridoi Regionali Primari della Rete Ecologica Regionale esterni a siti Natura 2000 </w:t>
            </w:r>
            <w:r w:rsidRPr="00A521EA">
              <w:rPr>
                <w:rFonts w:eastAsia="Times New Roman"/>
                <w:sz w:val="18"/>
                <w:szCs w:val="18"/>
              </w:rPr>
              <w:t>e alle Aree protette</w:t>
            </w:r>
            <w:r w:rsidRPr="00A521EA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A521EA">
              <w:rPr>
                <w:rFonts w:eastAsia="Times New Roman" w:cs="Times New Roman"/>
                <w:bCs/>
                <w:sz w:val="18"/>
                <w:szCs w:val="18"/>
                <w:vertAlign w:val="superscript"/>
              </w:rPr>
              <w:t>5 (*)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8A5C5A" w14:textId="739421F0" w:rsidR="004B17C7" w:rsidRPr="00A521EA" w:rsidRDefault="00CE540F" w:rsidP="00CE540F">
            <w:pPr>
              <w:rPr>
                <w:rFonts w:eastAsia="Times New Roman" w:cs="Times New Roman"/>
                <w:b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sz w:val="18"/>
                <w:szCs w:val="18"/>
              </w:rPr>
              <w:t>30</w:t>
            </w:r>
          </w:p>
        </w:tc>
      </w:tr>
      <w:tr w:rsidR="00A521EA" w:rsidRPr="00A521EA" w14:paraId="48F4D614" w14:textId="78D5D4CF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48F4D611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z w:val="18"/>
                <w:szCs w:val="18"/>
              </w:rPr>
              <w:t>4.4</w:t>
            </w:r>
          </w:p>
          <w:p w14:paraId="48F4D612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86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48F4D613" w14:textId="77777777" w:rsidR="004B17C7" w:rsidRPr="00A521EA" w:rsidRDefault="004B17C7">
            <w:pPr>
              <w:rPr>
                <w:rFonts w:eastAsia="Times New Roman" w:cs="Times New Roman"/>
                <w:bCs/>
                <w:sz w:val="18"/>
                <w:szCs w:val="18"/>
                <w:vertAlign w:val="superscript"/>
              </w:rPr>
            </w:pPr>
            <w:r w:rsidRPr="00A521EA">
              <w:rPr>
                <w:rFonts w:eastAsia="Times New Roman" w:cs="Times New Roman"/>
                <w:sz w:val="18"/>
                <w:szCs w:val="18"/>
              </w:rPr>
              <w:t>Elementi di primo o secondo livello della Rete Ecologica Regionale esterni a siti Natura 2000</w:t>
            </w:r>
            <w:r w:rsidRPr="00A521EA">
              <w:rPr>
                <w:rFonts w:eastAsia="Times New Roman"/>
                <w:sz w:val="18"/>
                <w:szCs w:val="18"/>
              </w:rPr>
              <w:t xml:space="preserve"> e alle Aree protette</w:t>
            </w:r>
            <w:r w:rsidRPr="00A521EA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A521EA">
              <w:rPr>
                <w:rFonts w:eastAsia="Times New Roman" w:cs="Times New Roman"/>
                <w:bCs/>
                <w:sz w:val="18"/>
                <w:szCs w:val="18"/>
                <w:vertAlign w:val="superscript"/>
              </w:rPr>
              <w:t>5 (*)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E51F253" w14:textId="67683D9F" w:rsidR="004B17C7" w:rsidRPr="00A521EA" w:rsidRDefault="00CE540F" w:rsidP="00CE540F">
            <w:pPr>
              <w:rPr>
                <w:rFonts w:eastAsia="Times New Roman" w:cs="Times New Roman"/>
                <w:b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sz w:val="18"/>
                <w:szCs w:val="18"/>
              </w:rPr>
              <w:t>20</w:t>
            </w:r>
          </w:p>
        </w:tc>
      </w:tr>
      <w:tr w:rsidR="00A521EA" w:rsidRPr="00A521EA" w14:paraId="48F4D618" w14:textId="2F7ACE0D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48F4D615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z w:val="18"/>
                <w:szCs w:val="18"/>
              </w:rPr>
              <w:t>4.5</w:t>
            </w:r>
          </w:p>
          <w:p w14:paraId="48F4D616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865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617" w14:textId="77777777" w:rsidR="004B17C7" w:rsidRPr="00A521EA" w:rsidRDefault="004B17C7">
            <w:pPr>
              <w:rPr>
                <w:rFonts w:eastAsia="Times New Roman" w:cs="Times New Roman"/>
                <w:bCs/>
                <w:sz w:val="18"/>
                <w:szCs w:val="18"/>
                <w:vertAlign w:val="superscript"/>
              </w:rPr>
            </w:pPr>
            <w:r w:rsidRPr="00A521EA">
              <w:rPr>
                <w:rFonts w:eastAsia="Times New Roman" w:cs="Times New Roman"/>
                <w:sz w:val="18"/>
                <w:szCs w:val="18"/>
              </w:rPr>
              <w:t xml:space="preserve">Altre aree (escluse le precedenti) </w:t>
            </w:r>
            <w:r w:rsidRPr="00A521EA">
              <w:rPr>
                <w:rFonts w:eastAsia="Times New Roman" w:cs="Times New Roman"/>
                <w:bCs/>
                <w:sz w:val="18"/>
                <w:szCs w:val="18"/>
                <w:vertAlign w:val="superscript"/>
              </w:rPr>
              <w:t>5 (*)</w:t>
            </w:r>
          </w:p>
        </w:tc>
        <w:tc>
          <w:tcPr>
            <w:tcW w:w="70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3F9F58" w14:textId="6A61E1D3" w:rsidR="004B17C7" w:rsidRPr="00A521EA" w:rsidRDefault="00CE540F" w:rsidP="00CE540F">
            <w:pPr>
              <w:rPr>
                <w:rFonts w:eastAsia="Times New Roman" w:cs="Times New Roman"/>
                <w:b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sz w:val="18"/>
                <w:szCs w:val="18"/>
              </w:rPr>
              <w:t>10</w:t>
            </w:r>
          </w:p>
        </w:tc>
      </w:tr>
      <w:tr w:rsidR="00A521EA" w:rsidRPr="00A521EA" w14:paraId="48F4D61C" w14:textId="264A6FB2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48F4D619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4.6</w:t>
            </w:r>
          </w:p>
          <w:p w14:paraId="48F4D61A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61B" w14:textId="77777777" w:rsidR="004B17C7" w:rsidRPr="00A521EA" w:rsidRDefault="004B17C7">
            <w:pPr>
              <w:rPr>
                <w:rFonts w:eastAsia="Times New Roman" w:cs="Times New Roman"/>
                <w:bCs/>
                <w:strike/>
                <w:sz w:val="18"/>
                <w:szCs w:val="18"/>
                <w:vertAlign w:val="superscript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 xml:space="preserve">ZVN (solo per realizzazione di fasce tampone boscate) </w:t>
            </w: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  <w:vertAlign w:val="superscript"/>
              </w:rPr>
              <w:t>6 (*)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0ABC966" w14:textId="77777777" w:rsidR="004B17C7" w:rsidRPr="00A521EA" w:rsidRDefault="004B17C7" w:rsidP="00CE540F">
            <w:pPr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620" w14:textId="77B0E786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48F4D61D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4.7</w:t>
            </w:r>
          </w:p>
          <w:p w14:paraId="48F4D61E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61F" w14:textId="77777777" w:rsidR="004B17C7" w:rsidRPr="00A521EA" w:rsidRDefault="004B17C7">
            <w:pPr>
              <w:rPr>
                <w:rFonts w:eastAsia="Times New Roman" w:cs="Times New Roman"/>
                <w:bCs/>
                <w:strike/>
                <w:sz w:val="18"/>
                <w:szCs w:val="18"/>
                <w:vertAlign w:val="superscript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 xml:space="preserve">Interventi realizzati in territori ricadenti nelle aree svantaggiate di montagna definite nel PSR della Lombardia 2014-2020 (solo per pozze di abbeverata e altre strutture di abbeverata) </w:t>
            </w: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  <w:vertAlign w:val="superscript"/>
              </w:rPr>
              <w:t>6 (*)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8AEE7C1" w14:textId="77777777" w:rsidR="004B17C7" w:rsidRPr="00A521EA" w:rsidRDefault="004B17C7" w:rsidP="00CE540F">
            <w:pPr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624" w14:textId="1110539E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48F4D621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4.8</w:t>
            </w:r>
          </w:p>
          <w:p w14:paraId="48F4D622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623" w14:textId="77777777" w:rsidR="004B17C7" w:rsidRPr="00A521EA" w:rsidRDefault="004B17C7">
            <w:pPr>
              <w:rPr>
                <w:rFonts w:eastAsia="Times New Roman" w:cs="Times New Roman"/>
                <w:bCs/>
                <w:strike/>
                <w:sz w:val="18"/>
                <w:szCs w:val="18"/>
                <w:vertAlign w:val="superscript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>Interventi ricadenti in territori adiacenti a un corpo idrico superficiale con stato chimico delle acque non buono e/o stato ecologico delle acque cattivo/pessimo (solo per realizzazione di Fasce tampone boscate)</w:t>
            </w: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  <w:vertAlign w:val="superscript"/>
              </w:rPr>
              <w:t>6 (*)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A648F98" w14:textId="77777777" w:rsidR="004B17C7" w:rsidRPr="00A521EA" w:rsidRDefault="004B17C7" w:rsidP="00CE540F">
            <w:pPr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628" w14:textId="559F27DC" w:rsidTr="00CE540F">
        <w:trPr>
          <w:gridAfter w:val="1"/>
          <w:wAfter w:w="150" w:type="dxa"/>
          <w:trHeight w:val="20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48F4D625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</w:rPr>
              <w:t>4.9</w:t>
            </w:r>
          </w:p>
          <w:p w14:paraId="48F4D626" w14:textId="77777777" w:rsidR="004B17C7" w:rsidRPr="00A521EA" w:rsidRDefault="004B17C7">
            <w:pPr>
              <w:jc w:val="center"/>
              <w:rPr>
                <w:rFonts w:eastAsia="Times New Roman" w:cs="Times New Roman"/>
                <w:bCs/>
                <w:strike/>
                <w:sz w:val="18"/>
                <w:szCs w:val="18"/>
              </w:rPr>
            </w:pPr>
          </w:p>
        </w:tc>
        <w:tc>
          <w:tcPr>
            <w:tcW w:w="8659" w:type="dxa"/>
            <w:gridSpan w:val="4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627" w14:textId="77777777" w:rsidR="004B17C7" w:rsidRPr="00A521EA" w:rsidRDefault="004B17C7">
            <w:pPr>
              <w:rPr>
                <w:rFonts w:eastAsia="Times New Roman" w:cs="Times New Roman"/>
                <w:bCs/>
                <w:strike/>
                <w:sz w:val="18"/>
                <w:szCs w:val="18"/>
                <w:vertAlign w:val="superscript"/>
              </w:rPr>
            </w:pPr>
            <w:r w:rsidRPr="00A521EA">
              <w:rPr>
                <w:rFonts w:eastAsia="Times New Roman" w:cs="Times New Roman"/>
                <w:strike/>
                <w:sz w:val="18"/>
                <w:szCs w:val="18"/>
              </w:rPr>
              <w:t xml:space="preserve">Interventi ricadenti in territori adiacenti a un corpo idrico superficiale con stato chimico delle acque non buono e/o stato ecologico delle acque scarso/scadente (solo per realizzazione di Fasce tampone boscate) </w:t>
            </w:r>
            <w:r w:rsidRPr="00A521EA">
              <w:rPr>
                <w:rFonts w:eastAsia="Times New Roman" w:cs="Times New Roman"/>
                <w:bCs/>
                <w:strike/>
                <w:sz w:val="18"/>
                <w:szCs w:val="18"/>
                <w:vertAlign w:val="superscript"/>
              </w:rPr>
              <w:t>6 (*)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C90394" w14:textId="77777777" w:rsidR="004B17C7" w:rsidRPr="00A521EA" w:rsidRDefault="004B17C7" w:rsidP="00CE540F">
            <w:pPr>
              <w:rPr>
                <w:rFonts w:eastAsia="Times New Roman" w:cs="Times New Roman"/>
                <w:strike/>
                <w:sz w:val="18"/>
                <w:szCs w:val="18"/>
              </w:rPr>
            </w:pPr>
          </w:p>
        </w:tc>
      </w:tr>
      <w:tr w:rsidR="00A521EA" w:rsidRPr="00A521EA" w14:paraId="48F4D62B" w14:textId="2D6C05DD" w:rsidTr="00CE540F">
        <w:trPr>
          <w:trHeight w:val="20"/>
        </w:trPr>
        <w:tc>
          <w:tcPr>
            <w:tcW w:w="8745" w:type="dxa"/>
            <w:gridSpan w:val="2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F4D629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48F4D62A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2429AD7A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A521EA" w:rsidRPr="00A521EA" w14:paraId="48F4D62F" w14:textId="347F8E68" w:rsidTr="00CE540F">
        <w:trPr>
          <w:trHeight w:val="2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F4D62C" w14:textId="77777777" w:rsidR="004B17C7" w:rsidRPr="00A521EA" w:rsidRDefault="004B17C7">
            <w:pPr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48F4D62D" w14:textId="77777777" w:rsidR="004B17C7" w:rsidRPr="00A521EA" w:rsidRDefault="004B17C7">
            <w:pPr>
              <w:jc w:val="right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PUNTEGGIO MASSIMO</w:t>
            </w:r>
          </w:p>
        </w:tc>
        <w:tc>
          <w:tcPr>
            <w:tcW w:w="40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F4D62E" w14:textId="77777777" w:rsidR="004B17C7" w:rsidRPr="00A521EA" w:rsidRDefault="004B17C7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521EA">
              <w:rPr>
                <w:rFonts w:eastAsia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989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86F2AA" w14:textId="77777777" w:rsidR="004B17C7" w:rsidRPr="00A521EA" w:rsidRDefault="004B17C7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48F4D630" w14:textId="77777777" w:rsidR="00990026" w:rsidRPr="00A521EA" w:rsidRDefault="00990026">
      <w:pPr>
        <w:rPr>
          <w:rFonts w:eastAsia="Times New Roman" w:cs="Times New Roman"/>
          <w:b/>
          <w:bCs/>
          <w:sz w:val="6"/>
          <w:szCs w:val="6"/>
        </w:rPr>
      </w:pPr>
    </w:p>
    <w:p w14:paraId="48F4D631" w14:textId="77777777" w:rsidR="00990026" w:rsidRPr="00A521EA" w:rsidRDefault="00CB55C8" w:rsidP="00CE540F">
      <w:pPr>
        <w:pStyle w:val="Paragrafoelenco"/>
        <w:numPr>
          <w:ilvl w:val="0"/>
          <w:numId w:val="3"/>
        </w:numPr>
        <w:ind w:left="426" w:hanging="426"/>
        <w:jc w:val="both"/>
        <w:rPr>
          <w:sz w:val="16"/>
          <w:szCs w:val="16"/>
        </w:rPr>
      </w:pPr>
      <w:r w:rsidRPr="00A521EA">
        <w:rPr>
          <w:sz w:val="16"/>
          <w:szCs w:val="16"/>
        </w:rPr>
        <w:t>In caso la domanda comprenda interventi relativi a più tipologie (fontanili, FTB, aree umide e pozze di abbeverata) ad ogni intervento viene attribuito il punteggio in base ai parametri di riferimento. I punteggi attributi ad ogni tipologia si sommano.</w:t>
      </w:r>
    </w:p>
    <w:p w14:paraId="48F4D632" w14:textId="77777777" w:rsidR="00990026" w:rsidRPr="00A521EA" w:rsidRDefault="00CB55C8" w:rsidP="00CE540F">
      <w:pPr>
        <w:pStyle w:val="Paragrafoelenco"/>
        <w:numPr>
          <w:ilvl w:val="0"/>
          <w:numId w:val="3"/>
        </w:numPr>
        <w:ind w:left="426" w:hanging="426"/>
        <w:jc w:val="both"/>
        <w:rPr>
          <w:sz w:val="16"/>
          <w:szCs w:val="16"/>
        </w:rPr>
      </w:pPr>
      <w:r w:rsidRPr="00A521EA">
        <w:rPr>
          <w:sz w:val="16"/>
          <w:szCs w:val="16"/>
        </w:rPr>
        <w:lastRenderedPageBreak/>
        <w:t>I punteggi eventualmente attribuiti per interventi su più fontanili si sommano a quelli relativi alla tipologia di intervento</w:t>
      </w:r>
    </w:p>
    <w:p w14:paraId="48F4D633" w14:textId="77777777" w:rsidR="00990026" w:rsidRPr="00A521EA" w:rsidRDefault="00CB55C8" w:rsidP="00CE540F">
      <w:pPr>
        <w:pStyle w:val="Paragrafoelenco"/>
        <w:numPr>
          <w:ilvl w:val="0"/>
          <w:numId w:val="3"/>
        </w:numPr>
        <w:ind w:left="426" w:hanging="426"/>
        <w:jc w:val="both"/>
        <w:rPr>
          <w:sz w:val="16"/>
          <w:szCs w:val="16"/>
        </w:rPr>
      </w:pPr>
      <w:r w:rsidRPr="00A521EA">
        <w:rPr>
          <w:sz w:val="16"/>
          <w:szCs w:val="16"/>
        </w:rPr>
        <w:t xml:space="preserve">In caso di più interventi di recupero fontanili in una stessa domanda, il punteggio viene attribuito per la tipologia di recupero con punteggio più alto. </w:t>
      </w:r>
    </w:p>
    <w:p w14:paraId="48F4D634" w14:textId="77777777" w:rsidR="00990026" w:rsidRPr="00A521EA" w:rsidRDefault="00CB55C8" w:rsidP="00CE540F">
      <w:pPr>
        <w:pStyle w:val="Paragrafoelenco"/>
        <w:numPr>
          <w:ilvl w:val="0"/>
          <w:numId w:val="3"/>
        </w:numPr>
        <w:ind w:left="426" w:hanging="426"/>
        <w:jc w:val="both"/>
        <w:rPr>
          <w:sz w:val="16"/>
          <w:szCs w:val="16"/>
        </w:rPr>
      </w:pPr>
      <w:r w:rsidRPr="00A521EA">
        <w:rPr>
          <w:sz w:val="16"/>
          <w:szCs w:val="16"/>
        </w:rPr>
        <w:t xml:space="preserve">In caso di più interventi di realizzazione FTB in una stessa domanda, il punteggio viene attribuito solo a quello più rilevante in termini di lunghezza. </w:t>
      </w:r>
    </w:p>
    <w:p w14:paraId="48F4D635" w14:textId="77777777" w:rsidR="00990026" w:rsidRPr="00A521EA" w:rsidRDefault="00CB55C8" w:rsidP="00CE540F">
      <w:pPr>
        <w:pStyle w:val="Paragrafoelenco"/>
        <w:numPr>
          <w:ilvl w:val="0"/>
          <w:numId w:val="3"/>
        </w:numPr>
        <w:ind w:left="426" w:hanging="426"/>
        <w:jc w:val="both"/>
        <w:rPr>
          <w:sz w:val="16"/>
          <w:szCs w:val="16"/>
        </w:rPr>
      </w:pPr>
      <w:r w:rsidRPr="00A521EA">
        <w:rPr>
          <w:sz w:val="16"/>
          <w:szCs w:val="16"/>
        </w:rPr>
        <w:t>Per interventi che ricadono nella localizzazione 4.1, 4.2, 4.3, 4.4 e 4.5 viene attribuito solo il punteggio relativo alla localizzazione prevalente. Il punteggio è attribuito solo se almeno il 50 % dell'intervento ricade nella localizzazione.</w:t>
      </w:r>
    </w:p>
    <w:p w14:paraId="48F4D636" w14:textId="77777777" w:rsidR="00990026" w:rsidRPr="00A521EA" w:rsidRDefault="00CB55C8" w:rsidP="00CE540F">
      <w:pPr>
        <w:pStyle w:val="Paragrafoelenco"/>
        <w:numPr>
          <w:ilvl w:val="0"/>
          <w:numId w:val="3"/>
        </w:numPr>
        <w:ind w:left="426" w:hanging="426"/>
        <w:jc w:val="both"/>
        <w:rPr>
          <w:sz w:val="16"/>
          <w:szCs w:val="16"/>
        </w:rPr>
      </w:pPr>
      <w:r w:rsidRPr="00A521EA">
        <w:rPr>
          <w:sz w:val="16"/>
          <w:szCs w:val="16"/>
        </w:rPr>
        <w:t>Il punteggio si cumula con quelli eventualmente attribuiti secondo i parametri 4.1, 4.2, 4.3, 4.4 e 4.5. Il punteggio è attribuito solo se almeno il 50 % dell'intervento ricade nella localizzazione. I punteggi attribuiti secondo i parametri 4.8 e 4.9 non sono cumulabili tra loro ma cumulabili con il parametro 4.6.</w:t>
      </w:r>
    </w:p>
    <w:p w14:paraId="48F4D637" w14:textId="77777777" w:rsidR="00990026" w:rsidRPr="00A521EA" w:rsidRDefault="00990026">
      <w:pPr>
        <w:rPr>
          <w:rFonts w:eastAsia="Times New Roman" w:cs="Times New Roman"/>
          <w:b/>
          <w:bCs/>
          <w:sz w:val="6"/>
          <w:szCs w:val="6"/>
        </w:rPr>
      </w:pPr>
    </w:p>
    <w:p w14:paraId="48F4D638" w14:textId="77777777" w:rsidR="00990026" w:rsidRPr="00A521EA" w:rsidRDefault="00CB55C8">
      <w:pPr>
        <w:ind w:left="284" w:hanging="284"/>
        <w:jc w:val="both"/>
        <w:rPr>
          <w:rFonts w:eastAsia="Times New Roman" w:cs="Times New Roman"/>
          <w:bCs/>
          <w:sz w:val="16"/>
          <w:szCs w:val="16"/>
        </w:rPr>
      </w:pPr>
      <w:r w:rsidRPr="00A521EA">
        <w:rPr>
          <w:rFonts w:eastAsia="Times New Roman" w:cs="Times New Roman"/>
          <w:b/>
          <w:bCs/>
          <w:sz w:val="16"/>
          <w:szCs w:val="16"/>
        </w:rPr>
        <w:t xml:space="preserve">* </w:t>
      </w:r>
      <w:r w:rsidRPr="00A521EA">
        <w:rPr>
          <w:rFonts w:eastAsia="Times New Roman" w:cs="Times New Roman"/>
          <w:b/>
          <w:bCs/>
          <w:sz w:val="16"/>
          <w:szCs w:val="16"/>
        </w:rPr>
        <w:tab/>
      </w:r>
      <w:r w:rsidRPr="00A521EA">
        <w:rPr>
          <w:rFonts w:eastAsia="Times New Roman" w:cs="Times New Roman"/>
          <w:bCs/>
          <w:sz w:val="16"/>
          <w:szCs w:val="16"/>
        </w:rPr>
        <w:t xml:space="preserve">L’inserimento di ulteriori tipologie di area nel macrocriterio “Localizzazione dell’intervento” è giustificato dalla valenza ambientale delle aree considerate, in coerenza con gli obiettivi dell’Operazione e della pianificazione territoriale. Le aree individuate in aggiunta a quelle previste nel paragrafo “Principi concernenti la fissazione dei criteri di selezione” dell’Operazione possono contribuire ad incentivare la realizzazione degli interventi in ambiti ad elevato valore ambientale e naturalistico, aumentando così gli effetti prodotti dagli interventi ammessi a finanziamento.  </w:t>
      </w:r>
      <w:r w:rsidRPr="00A521EA">
        <w:rPr>
          <w:sz w:val="16"/>
          <w:szCs w:val="16"/>
        </w:rPr>
        <w:t>Il punteggio attribuito agli elementi aggiuntivi sarà comunque inferiore a quello dei criteri prioritari i indicati nel macrocriterio “</w:t>
      </w:r>
      <w:r w:rsidRPr="00A521EA">
        <w:rPr>
          <w:rFonts w:eastAsia="Times New Roman" w:cs="Times New Roman"/>
          <w:bCs/>
          <w:sz w:val="16"/>
          <w:szCs w:val="16"/>
        </w:rPr>
        <w:t>Localizzazione dell’intervento</w:t>
      </w:r>
      <w:r w:rsidRPr="00A521EA">
        <w:rPr>
          <w:sz w:val="16"/>
          <w:szCs w:val="16"/>
        </w:rPr>
        <w:t>”.</w:t>
      </w:r>
      <w:r w:rsidRPr="00A521EA">
        <w:rPr>
          <w:rFonts w:eastAsia="Times New Roman" w:cs="Times New Roman"/>
          <w:bCs/>
          <w:sz w:val="16"/>
          <w:szCs w:val="16"/>
        </w:rPr>
        <w:t xml:space="preserve"> </w:t>
      </w:r>
    </w:p>
    <w:p w14:paraId="48F4D639" w14:textId="77777777" w:rsidR="00990026" w:rsidRPr="00A521EA" w:rsidRDefault="00CB55C8">
      <w:pPr>
        <w:rPr>
          <w:sz w:val="16"/>
          <w:szCs w:val="16"/>
        </w:rPr>
      </w:pPr>
      <w:r w:rsidRPr="00A521EA">
        <w:rPr>
          <w:sz w:val="16"/>
          <w:szCs w:val="16"/>
        </w:rPr>
        <w:t xml:space="preserve">Il punteggio minimo di accesso all’Operazione è pari a </w:t>
      </w:r>
      <w:r w:rsidRPr="00A521EA">
        <w:rPr>
          <w:b/>
          <w:sz w:val="16"/>
          <w:szCs w:val="16"/>
        </w:rPr>
        <w:t>18 punti</w:t>
      </w:r>
      <w:r w:rsidRPr="00A521EA">
        <w:rPr>
          <w:sz w:val="16"/>
          <w:szCs w:val="16"/>
        </w:rPr>
        <w:t>.</w:t>
      </w:r>
    </w:p>
    <w:p w14:paraId="48F4D63A" w14:textId="77777777" w:rsidR="00990026" w:rsidRPr="00A521EA" w:rsidRDefault="00990026">
      <w:pPr>
        <w:rPr>
          <w:rFonts w:cs="Cordia New"/>
          <w:b/>
          <w:sz w:val="20"/>
          <w:szCs w:val="20"/>
        </w:rPr>
      </w:pPr>
    </w:p>
    <w:p w14:paraId="48F4D63B" w14:textId="77777777" w:rsidR="00990026" w:rsidRPr="00A521EA" w:rsidRDefault="00990026">
      <w:pPr>
        <w:pStyle w:val="Pidipagina"/>
        <w:pBdr>
          <w:top w:val="nil"/>
          <w:left w:val="nil"/>
          <w:bottom w:val="nil"/>
          <w:right w:val="nil"/>
        </w:pBdr>
      </w:pPr>
    </w:p>
    <w:sectPr w:rsidR="00990026" w:rsidRPr="00A521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401" w:footer="303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83628" w14:textId="77777777" w:rsidR="004A2166" w:rsidRDefault="004A2166">
      <w:r>
        <w:separator/>
      </w:r>
    </w:p>
  </w:endnote>
  <w:endnote w:type="continuationSeparator" w:id="0">
    <w:p w14:paraId="0E97E5EC" w14:textId="77777777" w:rsidR="004A2166" w:rsidRDefault="004A2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DB219" w14:textId="77777777" w:rsidR="00781385" w:rsidRDefault="007813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4D641" w14:textId="255BA5DA" w:rsidR="00990026" w:rsidRDefault="004F684E">
    <w:pPr>
      <w:pStyle w:val="Pidipagina"/>
      <w:pBdr>
        <w:top w:val="single" w:sz="4" w:space="1" w:color="00000A"/>
        <w:left w:val="nil"/>
        <w:bottom w:val="nil"/>
        <w:right w:val="nil"/>
      </w:pBdr>
      <w:tabs>
        <w:tab w:val="center" w:pos="0"/>
        <w:tab w:val="right" w:pos="9915"/>
        <w:tab w:val="left" w:pos="11907"/>
      </w:tabs>
      <w:ind w:right="-7"/>
      <w:rPr>
        <w:sz w:val="16"/>
        <w:szCs w:val="16"/>
      </w:rPr>
    </w:pPr>
    <w:r>
      <w:rPr>
        <w:sz w:val="16"/>
        <w:szCs w:val="16"/>
      </w:rPr>
      <w:t xml:space="preserve">PSL   </w:t>
    </w:r>
    <w:r w:rsidRPr="00196547">
      <w:rPr>
        <w:b/>
        <w:sz w:val="16"/>
        <w:szCs w:val="16"/>
      </w:rPr>
      <w:t>GAL VALLE SERIANA E DEI LAGHI BERGAMASCHI</w:t>
    </w:r>
    <w:r>
      <w:rPr>
        <w:b/>
        <w:sz w:val="16"/>
        <w:szCs w:val="16"/>
      </w:rPr>
      <w:tab/>
    </w:r>
    <w:r w:rsidR="00CB55C8">
      <w:rPr>
        <w:sz w:val="16"/>
        <w:szCs w:val="16"/>
      </w:rPr>
      <w:tab/>
      <w:t xml:space="preserve">Pag. </w:t>
    </w:r>
    <w:r w:rsidR="00CB55C8">
      <w:rPr>
        <w:sz w:val="16"/>
        <w:szCs w:val="16"/>
      </w:rPr>
      <w:fldChar w:fldCharType="begin"/>
    </w:r>
    <w:r w:rsidR="00CB55C8">
      <w:instrText>PAGE</w:instrText>
    </w:r>
    <w:r w:rsidR="00CB55C8">
      <w:fldChar w:fldCharType="separate"/>
    </w:r>
    <w:r w:rsidR="00D774C9">
      <w:rPr>
        <w:noProof/>
      </w:rPr>
      <w:t>4</w:t>
    </w:r>
    <w:r w:rsidR="00CB55C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28815" w14:textId="77777777" w:rsidR="00781385" w:rsidRDefault="007813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33B2C" w14:textId="77777777" w:rsidR="004A2166" w:rsidRDefault="004A2166">
      <w:r>
        <w:separator/>
      </w:r>
    </w:p>
  </w:footnote>
  <w:footnote w:type="continuationSeparator" w:id="0">
    <w:p w14:paraId="262D12B6" w14:textId="77777777" w:rsidR="004A2166" w:rsidRDefault="004A2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3DEB6" w14:textId="77777777" w:rsidR="00781385" w:rsidRDefault="007813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4D640" w14:textId="3FCB61F8" w:rsidR="00990026" w:rsidRPr="00781385" w:rsidRDefault="00CB55C8">
    <w:pPr>
      <w:pStyle w:val="Intestazione"/>
      <w:pBdr>
        <w:top w:val="nil"/>
        <w:left w:val="nil"/>
        <w:bottom w:val="single" w:sz="4" w:space="1" w:color="00000A"/>
        <w:right w:val="nil"/>
      </w:pBdr>
      <w:tabs>
        <w:tab w:val="left" w:pos="-4962"/>
        <w:tab w:val="right" w:pos="9915"/>
      </w:tabs>
      <w:rPr>
        <w:b/>
        <w:sz w:val="16"/>
        <w:szCs w:val="16"/>
      </w:rPr>
    </w:pPr>
    <w:r w:rsidRPr="00290357">
      <w:rPr>
        <w:sz w:val="16"/>
        <w:szCs w:val="16"/>
      </w:rPr>
      <w:t xml:space="preserve">Misura / Azione PSL </w:t>
    </w:r>
    <w:r w:rsidR="00290357" w:rsidRPr="00290357">
      <w:rPr>
        <w:sz w:val="16"/>
        <w:szCs w:val="16"/>
      </w:rPr>
      <w:t xml:space="preserve">  </w:t>
    </w:r>
    <w:r w:rsidRPr="00290357">
      <w:rPr>
        <w:rFonts w:cs="Cordia New"/>
        <w:b/>
        <w:sz w:val="16"/>
        <w:szCs w:val="16"/>
      </w:rPr>
      <w:t xml:space="preserve">N° </w:t>
    </w:r>
    <w:r w:rsidR="00290357" w:rsidRPr="00290357">
      <w:rPr>
        <w:rFonts w:cs="Cordia New"/>
        <w:b/>
        <w:sz w:val="16"/>
        <w:szCs w:val="16"/>
      </w:rPr>
      <w:t>7 POZZE D’ABBEVERATA</w:t>
    </w:r>
    <w:r w:rsidR="00290357" w:rsidRPr="00290357">
      <w:rPr>
        <w:rFonts w:cs="Cordia New"/>
        <w:sz w:val="16"/>
        <w:szCs w:val="16"/>
      </w:rPr>
      <w:tab/>
    </w:r>
    <w:r w:rsidRPr="00290357">
      <w:rPr>
        <w:sz w:val="16"/>
        <w:szCs w:val="16"/>
      </w:rPr>
      <w:tab/>
    </w:r>
    <w:r w:rsidRPr="00781385">
      <w:rPr>
        <w:b/>
        <w:sz w:val="16"/>
        <w:szCs w:val="16"/>
      </w:rPr>
      <w:t xml:space="preserve">Operazione PSR </w:t>
    </w:r>
    <w:r w:rsidR="00781385">
      <w:rPr>
        <w:b/>
        <w:sz w:val="16"/>
        <w:szCs w:val="16"/>
      </w:rPr>
      <w:t xml:space="preserve">  </w:t>
    </w:r>
    <w:r w:rsidRPr="00781385">
      <w:rPr>
        <w:b/>
        <w:sz w:val="16"/>
        <w:szCs w:val="16"/>
      </w:rPr>
      <w:t>4.4.02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E5F81" w14:textId="77777777" w:rsidR="00781385" w:rsidRDefault="0078138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03031"/>
    <w:multiLevelType w:val="multilevel"/>
    <w:tmpl w:val="E69218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FD24784"/>
    <w:multiLevelType w:val="multilevel"/>
    <w:tmpl w:val="8AA43D0A"/>
    <w:lvl w:ilvl="0">
      <w:start w:val="1"/>
      <w:numFmt w:val="decimal"/>
      <w:lvlText w:val="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F11FB1"/>
    <w:multiLevelType w:val="hybridMultilevel"/>
    <w:tmpl w:val="E7568A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026"/>
    <w:rsid w:val="00086220"/>
    <w:rsid w:val="001425AA"/>
    <w:rsid w:val="001771BC"/>
    <w:rsid w:val="00290357"/>
    <w:rsid w:val="002B6C94"/>
    <w:rsid w:val="002C77D2"/>
    <w:rsid w:val="002F20CF"/>
    <w:rsid w:val="004520D1"/>
    <w:rsid w:val="004A2166"/>
    <w:rsid w:val="004B17C7"/>
    <w:rsid w:val="004F684E"/>
    <w:rsid w:val="006570D1"/>
    <w:rsid w:val="0067228F"/>
    <w:rsid w:val="00680185"/>
    <w:rsid w:val="006838B2"/>
    <w:rsid w:val="00712B9C"/>
    <w:rsid w:val="00781385"/>
    <w:rsid w:val="008F4DCD"/>
    <w:rsid w:val="00990026"/>
    <w:rsid w:val="00A040BB"/>
    <w:rsid w:val="00A521EA"/>
    <w:rsid w:val="00C031BB"/>
    <w:rsid w:val="00C40984"/>
    <w:rsid w:val="00C6586E"/>
    <w:rsid w:val="00C71EAE"/>
    <w:rsid w:val="00C75395"/>
    <w:rsid w:val="00CB55C8"/>
    <w:rsid w:val="00CD1B75"/>
    <w:rsid w:val="00CE540F"/>
    <w:rsid w:val="00D774C9"/>
    <w:rsid w:val="00FE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4D4DE"/>
  <w15:docId w15:val="{63F65A6A-88FC-4136-8CF3-B7D867C3D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roid Sans Fallback" w:hAnsi="Calibri" w:cs="Calibr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E46F3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7A67"/>
  </w:style>
  <w:style w:type="character" w:customStyle="1" w:styleId="PidipaginaCarattere">
    <w:name w:val="Piè di pagina Carattere"/>
    <w:basedOn w:val="Carpredefinitoparagrafo"/>
    <w:link w:val="Pidipagina"/>
    <w:uiPriority w:val="99"/>
    <w:rsid w:val="00E77A67"/>
  </w:style>
  <w:style w:type="character" w:styleId="Numeropagina">
    <w:name w:val="page number"/>
    <w:basedOn w:val="Carpredefinitoparagrafo"/>
    <w:uiPriority w:val="99"/>
    <w:semiHidden/>
    <w:unhideWhenUsed/>
    <w:rsid w:val="00E77A67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alibri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;Arial" w:hAnsi="Liberation Sans;Arial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Intestazione">
    <w:name w:val="header"/>
    <w:basedOn w:val="Normale"/>
    <w:link w:val="IntestazioneCarattere"/>
    <w:uiPriority w:val="99"/>
    <w:unhideWhenUsed/>
    <w:rsid w:val="00E77A6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E77A67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F64DA8"/>
    <w:pPr>
      <w:ind w:left="720"/>
      <w:contextualSpacing/>
    </w:pPr>
  </w:style>
  <w:style w:type="table" w:styleId="Grigliatabella">
    <w:name w:val="Table Grid"/>
    <w:basedOn w:val="Tabellanormale"/>
    <w:uiPriority w:val="39"/>
    <w:rsid w:val="00424C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25A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25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09DDD51-04AB-4686-BCC1-0BE65A81A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1777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Gal Valle seriana e laghi</cp:lastModifiedBy>
  <cp:revision>20</cp:revision>
  <cp:lastPrinted>2017-08-19T09:47:00Z</cp:lastPrinted>
  <dcterms:created xsi:type="dcterms:W3CDTF">2017-08-06T22:22:00Z</dcterms:created>
  <dcterms:modified xsi:type="dcterms:W3CDTF">2018-01-29T08:50:00Z</dcterms:modified>
  <dc:language>it-IT</dc:language>
</cp:coreProperties>
</file>