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3"/>
        <w:gridCol w:w="1595"/>
      </w:tblGrid>
      <w:tr w:rsidR="00C93F90" w:rsidRPr="00B82C5D" w14:paraId="4DB5DBEF" w14:textId="77777777" w:rsidTr="00882C8A">
        <w:tc>
          <w:tcPr>
            <w:tcW w:w="8784" w:type="dxa"/>
            <w:vAlign w:val="bottom"/>
          </w:tcPr>
          <w:p w14:paraId="435D6838" w14:textId="77777777" w:rsidR="00C93F90" w:rsidRPr="00B82C5D" w:rsidRDefault="00C93F90" w:rsidP="00882C8A">
            <w:pPr>
              <w:spacing w:line="259" w:lineRule="auto"/>
              <w:rPr>
                <w:rFonts w:ascii="Times New Roman" w:eastAsia="Times New Roman" w:hAnsi="Times New Roman" w:cs="Times New Roman"/>
                <w:b/>
                <w:kern w:val="0"/>
                <w:sz w:val="28"/>
                <w:lang w:eastAsia="it-IT"/>
                <w14:ligatures w14:val="none"/>
              </w:rPr>
            </w:pPr>
            <w:r w:rsidRPr="00B82C5D">
              <w:rPr>
                <w:rFonts w:ascii="Times New Roman" w:eastAsia="Times New Roman" w:hAnsi="Times New Roman" w:cs="Times New Roman"/>
                <w:b/>
                <w:kern w:val="0"/>
                <w:sz w:val="28"/>
                <w:lang w:eastAsia="it-IT"/>
                <w14:ligatures w14:val="none"/>
              </w:rPr>
              <w:t>Nome intervento</w:t>
            </w:r>
          </w:p>
          <w:p w14:paraId="71740821" w14:textId="77777777" w:rsidR="00C93F90" w:rsidRPr="00B82C5D" w:rsidRDefault="00C93F90" w:rsidP="00882C8A">
            <w:pPr>
              <w:spacing w:line="259" w:lineRule="auto"/>
              <w:rPr>
                <w:rFonts w:ascii="Times New Roman" w:eastAsia="Times New Roman" w:hAnsi="Times New Roman" w:cs="Times New Roman"/>
                <w:b/>
                <w:kern w:val="0"/>
                <w:sz w:val="28"/>
                <w:lang w:eastAsia="it-IT"/>
                <w14:ligatures w14:val="none"/>
              </w:rPr>
            </w:pPr>
            <w:r w:rsidRPr="00B82C5D">
              <w:rPr>
                <w:rFonts w:ascii="Times New Roman" w:eastAsia="Times New Roman" w:hAnsi="Times New Roman" w:cs="Times New Roman"/>
                <w:b/>
                <w:kern w:val="0"/>
                <w:sz w:val="28"/>
                <w:lang w:eastAsia="it-IT"/>
                <w14:ligatures w14:val="none"/>
              </w:rPr>
              <w:t>PREMIO GIOVANI - IMPRESE EXTRA AGRICOLE</w:t>
            </w:r>
          </w:p>
        </w:tc>
        <w:tc>
          <w:tcPr>
            <w:tcW w:w="1662" w:type="dxa"/>
          </w:tcPr>
          <w:p w14:paraId="0B68C763" w14:textId="77777777" w:rsidR="00C93F90" w:rsidRPr="00B82C5D" w:rsidRDefault="00C93F90" w:rsidP="00882C8A">
            <w:pPr>
              <w:spacing w:line="259" w:lineRule="auto"/>
              <w:jc w:val="right"/>
              <w:rPr>
                <w:rFonts w:ascii="Times New Roman" w:eastAsia="Times New Roman" w:hAnsi="Times New Roman" w:cs="Times New Roman"/>
                <w:b/>
                <w:kern w:val="0"/>
                <w:sz w:val="40"/>
                <w:szCs w:val="40"/>
                <w:lang w:eastAsia="it-IT"/>
                <w14:ligatures w14:val="none"/>
              </w:rPr>
            </w:pPr>
            <w:r w:rsidRPr="00B82C5D">
              <w:rPr>
                <w:rFonts w:ascii="Times New Roman" w:eastAsia="Times New Roman" w:hAnsi="Times New Roman" w:cs="Times New Roman"/>
                <w:b/>
                <w:kern w:val="0"/>
                <w:sz w:val="40"/>
                <w:szCs w:val="40"/>
                <w:lang w:eastAsia="it-IT"/>
                <w14:ligatures w14:val="none"/>
              </w:rPr>
              <w:t>INT. 11</w:t>
            </w:r>
          </w:p>
        </w:tc>
      </w:tr>
    </w:tbl>
    <w:p w14:paraId="21BC176F" w14:textId="77777777" w:rsidR="00C93F90" w:rsidRPr="00B82C5D" w:rsidRDefault="00C93F90" w:rsidP="00882C8A">
      <w:pPr>
        <w:rPr>
          <w:rFonts w:cstheme="minorHAnsi"/>
          <w:sz w:val="18"/>
          <w:szCs w:val="18"/>
        </w:rPr>
      </w:pPr>
    </w:p>
    <w:tbl>
      <w:tblPr>
        <w:tblStyle w:val="Grigliatabella"/>
        <w:tblW w:w="9918" w:type="dxa"/>
        <w:tblLook w:val="04A0" w:firstRow="1" w:lastRow="0" w:firstColumn="1" w:lastColumn="0" w:noHBand="0" w:noVBand="1"/>
      </w:tblPr>
      <w:tblGrid>
        <w:gridCol w:w="3114"/>
        <w:gridCol w:w="6804"/>
      </w:tblGrid>
      <w:tr w:rsidR="00D9697C" w:rsidRPr="004034A6" w14:paraId="126AD58A"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6BD68C1B" w14:textId="0E761EFA" w:rsidR="00D9697C" w:rsidRPr="004034A6" w:rsidRDefault="00D9697C" w:rsidP="00D9697C">
            <w:pPr>
              <w:rPr>
                <w:rFonts w:cs="Cordia New"/>
                <w:b/>
                <w:sz w:val="18"/>
                <w:szCs w:val="18"/>
              </w:rPr>
            </w:pPr>
            <w:r w:rsidRPr="004034A6">
              <w:rPr>
                <w:rFonts w:cs="Cordia New"/>
                <w:b/>
                <w:sz w:val="18"/>
                <w:szCs w:val="18"/>
              </w:rPr>
              <w:t xml:space="preserve">CODICE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1736B49F" w14:textId="77777777" w:rsidR="00D9697C" w:rsidRPr="004034A6" w:rsidRDefault="00D9697C" w:rsidP="00D9697C">
            <w:pPr>
              <w:rPr>
                <w:rFonts w:cstheme="minorHAnsi"/>
                <w:sz w:val="18"/>
                <w:szCs w:val="18"/>
              </w:rPr>
            </w:pPr>
            <w:r w:rsidRPr="004034A6">
              <w:rPr>
                <w:rFonts w:cstheme="minorHAnsi"/>
                <w:sz w:val="18"/>
                <w:szCs w:val="18"/>
              </w:rPr>
              <w:t>SR</w:t>
            </w:r>
            <w:r w:rsidR="00BE5FBF" w:rsidRPr="004034A6">
              <w:rPr>
                <w:rFonts w:cstheme="minorHAnsi"/>
                <w:sz w:val="18"/>
                <w:szCs w:val="18"/>
              </w:rPr>
              <w:t>E</w:t>
            </w:r>
            <w:r w:rsidRPr="004034A6">
              <w:rPr>
                <w:rFonts w:cstheme="minorHAnsi"/>
                <w:sz w:val="18"/>
                <w:szCs w:val="18"/>
              </w:rPr>
              <w:t xml:space="preserve">04 </w:t>
            </w:r>
          </w:p>
          <w:p w14:paraId="7C4F89EA" w14:textId="017FC880" w:rsidR="000A390B" w:rsidRPr="004034A6" w:rsidRDefault="000A390B" w:rsidP="00D9697C">
            <w:pPr>
              <w:rPr>
                <w:rFonts w:cstheme="minorHAnsi"/>
                <w:sz w:val="18"/>
                <w:szCs w:val="18"/>
              </w:rPr>
            </w:pPr>
          </w:p>
        </w:tc>
      </w:tr>
      <w:tr w:rsidR="00D9697C" w:rsidRPr="004034A6" w14:paraId="626DF8DE"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278EC89B" w14:textId="5CD359A8" w:rsidR="00D9697C" w:rsidRPr="004034A6" w:rsidRDefault="00D9697C" w:rsidP="00D9697C">
            <w:r w:rsidRPr="004034A6">
              <w:rPr>
                <w:rFonts w:cs="Cordia New"/>
                <w:b/>
                <w:sz w:val="18"/>
                <w:szCs w:val="18"/>
              </w:rPr>
              <w:t>NOME INTERVENTO</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4F24D356" w14:textId="77777777" w:rsidR="00D9697C" w:rsidRPr="004034A6" w:rsidRDefault="00BE5FBF" w:rsidP="00D9697C">
            <w:pPr>
              <w:rPr>
                <w:rFonts w:cstheme="minorHAnsi"/>
                <w:sz w:val="18"/>
                <w:szCs w:val="18"/>
              </w:rPr>
            </w:pPr>
            <w:r w:rsidRPr="004034A6">
              <w:rPr>
                <w:rFonts w:cstheme="minorHAnsi"/>
                <w:sz w:val="18"/>
                <w:szCs w:val="18"/>
              </w:rPr>
              <w:t>start up non agricole</w:t>
            </w:r>
          </w:p>
          <w:p w14:paraId="7EFD9C9C" w14:textId="20E38D5B" w:rsidR="000A390B" w:rsidRPr="004034A6" w:rsidRDefault="000A390B" w:rsidP="00D9697C">
            <w:pPr>
              <w:rPr>
                <w:rFonts w:cstheme="minorHAnsi"/>
                <w:sz w:val="18"/>
                <w:szCs w:val="18"/>
              </w:rPr>
            </w:pPr>
          </w:p>
        </w:tc>
      </w:tr>
      <w:tr w:rsidR="00D9697C" w:rsidRPr="004034A6" w14:paraId="659A520D"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556D97F1" w14:textId="3F7FD8F3" w:rsidR="00D9697C" w:rsidRPr="004034A6" w:rsidRDefault="00D9697C" w:rsidP="00D9697C">
            <w:pPr>
              <w:rPr>
                <w:rFonts w:cs="Cordia New"/>
                <w:b/>
                <w:sz w:val="18"/>
                <w:szCs w:val="18"/>
              </w:rPr>
            </w:pPr>
            <w:r w:rsidRPr="004034A6">
              <w:rPr>
                <w:rFonts w:cs="Cordia New"/>
                <w:b/>
                <w:sz w:val="18"/>
                <w:szCs w:val="18"/>
              </w:rPr>
              <w:t xml:space="preserve">TIPO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686AD5D6" w14:textId="406375F9" w:rsidR="00D9697C" w:rsidRPr="004034A6" w:rsidRDefault="00BE5FBF" w:rsidP="00BE5FBF">
            <w:pPr>
              <w:spacing w:after="160" w:line="259" w:lineRule="auto"/>
              <w:jc w:val="both"/>
              <w:rPr>
                <w:rFonts w:cstheme="minorHAnsi"/>
                <w:sz w:val="18"/>
                <w:szCs w:val="18"/>
              </w:rPr>
            </w:pPr>
            <w:r w:rsidRPr="004034A6">
              <w:rPr>
                <w:rFonts w:cstheme="minorHAnsi"/>
                <w:sz w:val="18"/>
                <w:szCs w:val="18"/>
              </w:rPr>
              <w:t>INSTAL (75) - Insediamento di giovani agricoltori e nuovi agricoltori e avvio di nuove imprese rurali</w:t>
            </w:r>
          </w:p>
        </w:tc>
      </w:tr>
    </w:tbl>
    <w:p w14:paraId="6C4A985C" w14:textId="77777777" w:rsidR="00061C1C" w:rsidRPr="004034A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4034A6" w14:paraId="611FF105"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4C3E0E2" w14:textId="77777777" w:rsidR="00061C1C" w:rsidRPr="004034A6" w:rsidRDefault="00061C1C" w:rsidP="00C81588">
            <w:pPr>
              <w:rPr>
                <w:rFonts w:cstheme="minorHAnsi"/>
                <w:b/>
                <w:sz w:val="18"/>
                <w:szCs w:val="18"/>
              </w:rPr>
            </w:pPr>
            <w:r w:rsidRPr="004034A6">
              <w:rPr>
                <w:rFonts w:cs="Cordia New"/>
                <w:b/>
                <w:sz w:val="18"/>
                <w:szCs w:val="18"/>
              </w:rPr>
              <w:t>LINK PER PIANO STRATEGICO DELLA PAC (PSP)</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4034A6" w:rsidRDefault="00061C1C" w:rsidP="0010005D">
            <w:pPr>
              <w:jc w:val="both"/>
              <w:rPr>
                <w:rFonts w:cstheme="minorHAnsi"/>
                <w:sz w:val="18"/>
                <w:szCs w:val="18"/>
              </w:rPr>
            </w:pPr>
            <w:hyperlink r:id="rId7" w:history="1">
              <w:r w:rsidRPr="004034A6">
                <w:rPr>
                  <w:rStyle w:val="Collegamentoipertestuale"/>
                  <w:rFonts w:cstheme="minorHAnsi"/>
                  <w:sz w:val="18"/>
                  <w:szCs w:val="18"/>
                </w:rPr>
                <w:t>https://www.reterurale.it/flex/cm/pages/ServeBLOB.php/L/IT/IDPagina/24037</w:t>
              </w:r>
            </w:hyperlink>
            <w:r w:rsidRPr="004034A6">
              <w:rPr>
                <w:rFonts w:cstheme="minorHAnsi"/>
                <w:sz w:val="18"/>
                <w:szCs w:val="18"/>
              </w:rPr>
              <w:t xml:space="preserve"> - scaricare la versione del 23/10/2023</w:t>
            </w:r>
          </w:p>
        </w:tc>
      </w:tr>
    </w:tbl>
    <w:p w14:paraId="216E2EE6" w14:textId="77777777" w:rsidR="00061C1C" w:rsidRPr="004034A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4034A6" w14:paraId="32C9B330"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1B09FE7B" w14:textId="77777777" w:rsidR="00061C1C" w:rsidRPr="004034A6" w:rsidRDefault="00061C1C" w:rsidP="00C81588">
            <w:pPr>
              <w:rPr>
                <w:rFonts w:cs="Cordia New"/>
                <w:b/>
                <w:sz w:val="18"/>
                <w:szCs w:val="18"/>
              </w:rPr>
            </w:pPr>
            <w:r w:rsidRPr="004034A6">
              <w:rPr>
                <w:rFonts w:cs="Cordia New"/>
                <w:b/>
                <w:sz w:val="18"/>
                <w:szCs w:val="18"/>
              </w:rPr>
              <w:t>OBIETTIVI SPECIFICI DELLA PAC</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CBDF06" w14:textId="0DBD9626"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SO7 Attrarre e sostenere i giovani agricoltori e altri nuovi agricoltori e facilitare lo sviluppo imprenditoriale sostenibile nelle zone rurali</w:t>
            </w:r>
          </w:p>
          <w:p w14:paraId="26D6AADC" w14:textId="577131EC"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SO8 Promuovere l'occupazione, la crescita, la parità di genere, inclusa la partecipazione delle donne all'agricoltura, l'inclusione sociale e lo sviluppo locale nelle zone rurali, comprese la bioeconomia circolare e la silvicoltura sostenibile</w:t>
            </w:r>
          </w:p>
          <w:p w14:paraId="112C9EB5"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69746EC0" w14:textId="326A7249" w:rsidR="00A0247B" w:rsidRPr="004034A6" w:rsidRDefault="00A0247B" w:rsidP="00B55076">
            <w:pPr>
              <w:autoSpaceDE w:val="0"/>
              <w:autoSpaceDN w:val="0"/>
              <w:adjustRightInd w:val="0"/>
              <w:spacing w:after="0" w:line="240" w:lineRule="auto"/>
              <w:ind w:left="283" w:hanging="283"/>
              <w:jc w:val="both"/>
              <w:rPr>
                <w:rFonts w:cstheme="minorHAnsi"/>
                <w:sz w:val="18"/>
                <w:szCs w:val="18"/>
              </w:rPr>
            </w:pPr>
          </w:p>
        </w:tc>
      </w:tr>
      <w:tr w:rsidR="00061C1C" w:rsidRPr="004034A6" w14:paraId="472FDFA4"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EEC0071" w14:textId="77777777" w:rsidR="00061C1C" w:rsidRPr="004034A6" w:rsidRDefault="00061C1C" w:rsidP="00C81588">
            <w:pPr>
              <w:rPr>
                <w:rFonts w:cstheme="minorHAnsi"/>
                <w:b/>
                <w:caps/>
                <w:sz w:val="18"/>
                <w:szCs w:val="18"/>
              </w:rPr>
            </w:pPr>
            <w:r w:rsidRPr="004034A6">
              <w:rPr>
                <w:rFonts w:cs="Cordia New"/>
                <w:b/>
                <w:sz w:val="18"/>
                <w:szCs w:val="18"/>
              </w:rPr>
              <w:t>INDICATORI DI RISULTATO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2AB810"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R.37 Nuovi posti di lavoro finanziati nell'ambito dei progetti della PAC</w:t>
            </w:r>
          </w:p>
          <w:p w14:paraId="5C73A915"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3ED9DE3F" w14:textId="33F4450B" w:rsidR="00A0247B" w:rsidRPr="004034A6" w:rsidRDefault="00A0247B" w:rsidP="00EB0191">
            <w:pPr>
              <w:spacing w:after="40" w:line="238" w:lineRule="auto"/>
              <w:ind w:left="709" w:hanging="283"/>
              <w:jc w:val="both"/>
              <w:rPr>
                <w:rFonts w:cstheme="minorHAnsi"/>
                <w:sz w:val="18"/>
                <w:szCs w:val="18"/>
              </w:rPr>
            </w:pPr>
          </w:p>
        </w:tc>
      </w:tr>
      <w:tr w:rsidR="00061C1C" w:rsidRPr="004034A6" w14:paraId="5F84D100" w14:textId="77777777" w:rsidTr="00FE6A2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4034A6" w:rsidRDefault="00061C1C" w:rsidP="00C81588">
            <w:pPr>
              <w:rPr>
                <w:rFonts w:cs="Cordia New"/>
                <w:b/>
                <w:sz w:val="18"/>
                <w:szCs w:val="18"/>
              </w:rPr>
            </w:pPr>
            <w:r w:rsidRPr="004034A6">
              <w:rPr>
                <w:rFonts w:cs="Cordia New"/>
                <w:b/>
                <w:sz w:val="18"/>
                <w:szCs w:val="18"/>
              </w:rPr>
              <w:t>CRITERI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013662"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Criteri di ammissibilità dei beneficiari</w:t>
            </w:r>
          </w:p>
          <w:p w14:paraId="11903BC0"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CR01: Persone fisiche</w:t>
            </w:r>
          </w:p>
          <w:p w14:paraId="6550E8AC"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CR02: Microimprese o piccole imprese</w:t>
            </w:r>
          </w:p>
          <w:p w14:paraId="6BFB09F7"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CR03: Aggregazioni di persone fisiche e/o microimprese o piccole imprese</w:t>
            </w:r>
          </w:p>
          <w:p w14:paraId="436E6B21"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3AD46FFA"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Settori produttivi e di servizi per i quali viene sostenuto l’avvio di nuove imprese</w:t>
            </w:r>
          </w:p>
          <w:p w14:paraId="4B7302EC" w14:textId="60A7ABC9"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CR05: Può essere sostenuto l’avvio di nuove imprese in tutti i settori produttivi e di servizio per la realizzazione di attività e servizi per:</w:t>
            </w:r>
          </w:p>
          <w:p w14:paraId="45C2F228" w14:textId="5E91AA23"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 xml:space="preserve">a popolazione e target con esigenze specifiche (es. socioassistenziali, educativi, ricreativi, culturali, di mediazione, coworking, mobilità; </w:t>
            </w:r>
            <w:proofErr w:type="spellStart"/>
            <w:r w:rsidRPr="004034A6">
              <w:rPr>
                <w:rFonts w:ascii="Calibri" w:eastAsia="Droid Sans Fallback" w:hAnsi="Calibri" w:cstheme="minorHAnsi"/>
                <w:kern w:val="0"/>
                <w:sz w:val="18"/>
                <w:szCs w:val="18"/>
                <w14:ligatures w14:val="none"/>
              </w:rPr>
              <w:t>ecc</w:t>
            </w:r>
            <w:proofErr w:type="spellEnd"/>
            <w:r w:rsidRPr="004034A6">
              <w:rPr>
                <w:rFonts w:ascii="Calibri" w:eastAsia="Droid Sans Fallback" w:hAnsi="Calibri" w:cstheme="minorHAnsi"/>
                <w:kern w:val="0"/>
                <w:sz w:val="18"/>
                <w:szCs w:val="18"/>
                <w14:ligatures w14:val="none"/>
              </w:rPr>
              <w:t>);</w:t>
            </w:r>
          </w:p>
          <w:p w14:paraId="62D0CC69" w14:textId="203599CA"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b) commercializzazione, la promozione, la comunicazione e IT;</w:t>
            </w:r>
          </w:p>
          <w:p w14:paraId="7F3EB6DA" w14:textId="43599E6B"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 attività artigianali, manifatturiere;</w:t>
            </w:r>
          </w:p>
          <w:p w14:paraId="23F9B9D1" w14:textId="601F4603"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d) turismo rurale, ristorazione, ricettività, accoglienza, offerta ricreativa-culturale;</w:t>
            </w:r>
          </w:p>
          <w:p w14:paraId="3E5A3AB4" w14:textId="1538EF9D"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proofErr w:type="gramStart"/>
            <w:r w:rsidRPr="004034A6">
              <w:rPr>
                <w:rFonts w:ascii="Calibri" w:eastAsia="Droid Sans Fallback" w:hAnsi="Calibri" w:cstheme="minorHAnsi"/>
                <w:kern w:val="0"/>
                <w:sz w:val="18"/>
                <w:szCs w:val="18"/>
                <w14:ligatures w14:val="none"/>
              </w:rPr>
              <w:t>e )</w:t>
            </w:r>
            <w:proofErr w:type="gramEnd"/>
            <w:r w:rsidR="00997CDA" w:rsidRPr="004034A6">
              <w:rPr>
                <w:rFonts w:ascii="Calibri" w:eastAsia="Droid Sans Fallback" w:hAnsi="Calibri" w:cstheme="minorHAnsi"/>
                <w:kern w:val="0"/>
                <w:sz w:val="18"/>
                <w:szCs w:val="18"/>
                <w14:ligatures w14:val="none"/>
              </w:rPr>
              <w:t xml:space="preserve"> </w:t>
            </w:r>
            <w:r w:rsidRPr="004034A6">
              <w:rPr>
                <w:rFonts w:ascii="Calibri" w:eastAsia="Droid Sans Fallback" w:hAnsi="Calibri" w:cstheme="minorHAnsi"/>
                <w:kern w:val="0"/>
                <w:sz w:val="18"/>
                <w:szCs w:val="18"/>
                <w14:ligatures w14:val="none"/>
              </w:rPr>
              <w:t>valorizzazione di beni culturali e ambientali;</w:t>
            </w:r>
          </w:p>
          <w:p w14:paraId="268AD293" w14:textId="32F61DB6"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f) ambiente, economia circolare e bioeconomia;</w:t>
            </w:r>
          </w:p>
          <w:p w14:paraId="36BD1A4F" w14:textId="26DE8FDB"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g) produzione di energia da fonti rinnovabili e razionalizzazione dell’uso di energia;</w:t>
            </w:r>
          </w:p>
          <w:p w14:paraId="5E7C6F73" w14:textId="43419C00" w:rsidR="00A0247B" w:rsidRPr="004034A6" w:rsidRDefault="00A0247B" w:rsidP="00A0247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h) trasformazione e commercializzazione di prodotti, compresa la realizzazione di punti vendita.</w:t>
            </w:r>
          </w:p>
          <w:p w14:paraId="017BEAAD" w14:textId="77777777" w:rsidR="00A0247B" w:rsidRPr="004034A6" w:rsidRDefault="00A0247B" w:rsidP="00A0247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4C0CF4A0" w14:textId="77777777" w:rsidR="00A0247B" w:rsidRPr="004034A6" w:rsidRDefault="00A0247B" w:rsidP="00EF50A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Altre condizioni di ammissibilità</w:t>
            </w:r>
          </w:p>
          <w:p w14:paraId="63BAB38B" w14:textId="720A8382" w:rsidR="00A0247B" w:rsidRPr="004034A6" w:rsidRDefault="00A0247B" w:rsidP="00EF50A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CR06: La domanda di sostegno deve essere corredata dalla presentazione di un piano aziendale per lo sviluppo dell’attività extra agricola.</w:t>
            </w:r>
          </w:p>
          <w:p w14:paraId="4DF0F698" w14:textId="59440837" w:rsidR="00A0247B" w:rsidRPr="004034A6" w:rsidRDefault="00A0247B" w:rsidP="00EF50A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CR07: Il piano aziendale deve inquadrare la situazione di partenza dell’insediamento, l’idea imprenditoriale che si intende attuare, le tappe essenziali che caratterizzano le attività ed i tempi di attuazione, gli obiettivi e risultati che si intende raggiungere.</w:t>
            </w:r>
          </w:p>
          <w:p w14:paraId="254191D8" w14:textId="329EB812" w:rsidR="00A0247B" w:rsidRPr="004034A6" w:rsidRDefault="00A0247B" w:rsidP="00C81588">
            <w:pPr>
              <w:rPr>
                <w:rFonts w:cstheme="minorHAnsi"/>
                <w:sz w:val="18"/>
                <w:szCs w:val="18"/>
              </w:rPr>
            </w:pPr>
          </w:p>
        </w:tc>
      </w:tr>
    </w:tbl>
    <w:p w14:paraId="0552DC6C" w14:textId="77777777" w:rsidR="00061C1C" w:rsidRPr="004034A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10005D" w:rsidRPr="004034A6" w14:paraId="4531331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56DED288" w14:textId="77777777" w:rsidR="0010005D" w:rsidRPr="004034A6" w:rsidRDefault="0010005D" w:rsidP="0010005D">
            <w:pPr>
              <w:rPr>
                <w:rFonts w:cstheme="minorHAnsi"/>
                <w:b/>
                <w:color w:val="000000"/>
                <w:sz w:val="18"/>
                <w:szCs w:val="18"/>
              </w:rPr>
            </w:pPr>
            <w:r w:rsidRPr="004034A6">
              <w:rPr>
                <w:rFonts w:cs="Cordia New"/>
                <w:b/>
                <w:sz w:val="18"/>
                <w:szCs w:val="18"/>
              </w:rPr>
              <w:t xml:space="preserve">TIPOLOGIA INTERVENTI PSP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FCB758" w14:textId="188A0358" w:rsidR="00BE5FBF" w:rsidRPr="004034A6" w:rsidRDefault="00BE5FBF" w:rsidP="00BE5FBF">
            <w:pPr>
              <w:jc w:val="both"/>
              <w:rPr>
                <w:rFonts w:cstheme="minorHAnsi"/>
                <w:sz w:val="18"/>
                <w:szCs w:val="18"/>
              </w:rPr>
            </w:pPr>
            <w:r w:rsidRPr="004034A6">
              <w:rPr>
                <w:rFonts w:cstheme="minorHAnsi"/>
                <w:sz w:val="18"/>
                <w:szCs w:val="18"/>
              </w:rPr>
              <w:t xml:space="preserve">L’intervento prevede un sostegno, anche in combinazione con gli strumenti finanziari, per l’avviamento (start-up), di nuove attività imprenditoriali in ambito extra-agricolo nelle zone </w:t>
            </w:r>
            <w:r w:rsidRPr="004034A6">
              <w:rPr>
                <w:rFonts w:cstheme="minorHAnsi"/>
                <w:sz w:val="18"/>
                <w:szCs w:val="18"/>
              </w:rPr>
              <w:lastRenderedPageBreak/>
              <w:t>rurali, connesse alle strategie di sviluppo locale di tipo partecipativo di cui all'articolo 32 del regolamento (UE) 2021/1060.</w:t>
            </w:r>
          </w:p>
          <w:p w14:paraId="51BD84F1" w14:textId="25E0E492" w:rsidR="00BE5FBF" w:rsidRPr="004034A6" w:rsidRDefault="00BE5FBF" w:rsidP="00BE5FBF">
            <w:pPr>
              <w:jc w:val="both"/>
              <w:rPr>
                <w:rFonts w:cstheme="minorHAnsi"/>
                <w:sz w:val="18"/>
                <w:szCs w:val="18"/>
              </w:rPr>
            </w:pPr>
            <w:r w:rsidRPr="004034A6">
              <w:rPr>
                <w:rFonts w:cstheme="minorHAnsi"/>
                <w:sz w:val="18"/>
                <w:szCs w:val="18"/>
              </w:rPr>
              <w:t xml:space="preserve">La finalità dell’intervento è quella di rivitalizzare le economie rurali, rafforzando e diversificando l’economia rurale, attraverso la creazione di nuove attività extra agricole, che hanno come oggetto lo sviluppo, la produzione e la commercializzazione di prodotti o servizi all’interno dell’economia rurale, al fine di contrastare lo spopolamento, contribuire allo sviluppo occupazionale e sostenere il ruolo della </w:t>
            </w:r>
            <w:proofErr w:type="spellStart"/>
            <w:r w:rsidRPr="004034A6">
              <w:rPr>
                <w:rFonts w:cstheme="minorHAnsi"/>
                <w:sz w:val="18"/>
                <w:szCs w:val="18"/>
              </w:rPr>
              <w:t>microimprenditoria</w:t>
            </w:r>
            <w:proofErr w:type="spellEnd"/>
            <w:r w:rsidRPr="004034A6">
              <w:rPr>
                <w:rFonts w:cstheme="minorHAnsi"/>
                <w:sz w:val="18"/>
                <w:szCs w:val="18"/>
              </w:rPr>
              <w:t xml:space="preserve"> e della piccola impresa nel rafforzamento del tessuto economico e sociale delle aree rurali, in coerenza con le strategie locali di tipo partecipativo.</w:t>
            </w:r>
          </w:p>
          <w:p w14:paraId="4118D61B" w14:textId="3699EB65" w:rsidR="00BB3DE8" w:rsidRPr="004034A6" w:rsidRDefault="00BB3DE8" w:rsidP="00BB3DE8">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Pertanto, l’intervento contribuisce al perseguimento dell’Obiettivo specifico 7 Attirare i giovani agricoltori e facilitare lo sviluppo imprenditoriale nelle aree rurali, e dell’Obiettivo specifico 8 Promuovere l’occupazione, la crescita, l’inclusione sociale e lo sviluppo locale nelle aree rurali, comprese la bioeconomia e la silvicoltura sostenibile</w:t>
            </w:r>
          </w:p>
          <w:p w14:paraId="734B53B8" w14:textId="77777777" w:rsidR="00BB3DE8" w:rsidRPr="004034A6" w:rsidRDefault="00BB3DE8" w:rsidP="00BB3DE8">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67D1BAE8" w14:textId="77777777" w:rsidR="00997CDA" w:rsidRPr="004034A6" w:rsidRDefault="00997CDA" w:rsidP="00997CD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Collegamento con le esigenze e rilievo strategico</w:t>
            </w:r>
          </w:p>
          <w:p w14:paraId="3CA32D11" w14:textId="1958A01C" w:rsidR="00997CDA" w:rsidRPr="004034A6" w:rsidRDefault="00997CDA" w:rsidP="00997CD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Il sostegno è concesso per favorire l’avviamento di nuove attività imprenditoriali in ambito extra-agricolo nelle zone rurali, contribuendo all’esigenza 3.1, in linea con l’obiettivo strategico 7, e all’esigenze 3.3, in linea con l’obiettivo strategico 8.</w:t>
            </w:r>
          </w:p>
          <w:p w14:paraId="5CE54C3A" w14:textId="77777777" w:rsidR="00997CDA" w:rsidRPr="004034A6" w:rsidRDefault="00997CDA" w:rsidP="00997CD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5B04C4EF" w14:textId="77777777" w:rsidR="00997CDA" w:rsidRPr="004034A6" w:rsidRDefault="00997CDA" w:rsidP="00997CD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Collegamento con i risultati</w:t>
            </w:r>
          </w:p>
          <w:p w14:paraId="76C2AB61" w14:textId="268F47E5" w:rsidR="00997CDA" w:rsidRPr="004034A6" w:rsidRDefault="00997CDA" w:rsidP="00997CDA">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4034A6">
              <w:rPr>
                <w:rFonts w:ascii="Calibri" w:eastAsia="Droid Sans Fallback" w:hAnsi="Calibri" w:cstheme="minorHAnsi"/>
                <w:kern w:val="0"/>
                <w:sz w:val="18"/>
                <w:szCs w:val="18"/>
                <w14:ligatures w14:val="none"/>
              </w:rPr>
              <w:t>L’intervento fornirà un contributo fondamentale per il raggiungimento dei risultati di cui all’indicatore R.39 Sviluppare l’economia rurale.</w:t>
            </w:r>
          </w:p>
          <w:p w14:paraId="2A3B6F7F" w14:textId="758B5E1F" w:rsidR="00997CDA" w:rsidRPr="004034A6" w:rsidRDefault="00997CDA" w:rsidP="00BE5FBF">
            <w:pPr>
              <w:jc w:val="both"/>
              <w:rPr>
                <w:rFonts w:cstheme="minorHAnsi"/>
                <w:sz w:val="18"/>
                <w:szCs w:val="18"/>
              </w:rPr>
            </w:pPr>
          </w:p>
        </w:tc>
      </w:tr>
      <w:tr w:rsidR="0010005D" w:rsidRPr="004034A6" w14:paraId="505C1C93"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B824FBB" w14:textId="77777777" w:rsidR="0010005D" w:rsidRPr="004034A6" w:rsidRDefault="0010005D" w:rsidP="0010005D">
            <w:pPr>
              <w:rPr>
                <w:rFonts w:cstheme="minorHAnsi"/>
                <w:b/>
                <w:caps/>
                <w:color w:val="000000"/>
                <w:sz w:val="18"/>
                <w:szCs w:val="18"/>
              </w:rPr>
            </w:pPr>
            <w:r w:rsidRPr="004034A6">
              <w:rPr>
                <w:rFonts w:cs="Cordia New"/>
                <w:b/>
                <w:sz w:val="18"/>
                <w:szCs w:val="18"/>
              </w:rPr>
              <w:lastRenderedPageBreak/>
              <w:t>AZIONI SSL</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C29671" w14:textId="77777777" w:rsidR="0072135F" w:rsidRPr="004034A6" w:rsidRDefault="0072135F" w:rsidP="00D9697C">
            <w:pPr>
              <w:jc w:val="both"/>
              <w:rPr>
                <w:rFonts w:cstheme="minorHAnsi"/>
                <w:sz w:val="18"/>
                <w:szCs w:val="18"/>
              </w:rPr>
            </w:pPr>
            <w:r w:rsidRPr="004034A6">
              <w:rPr>
                <w:rFonts w:cstheme="minorHAnsi"/>
                <w:sz w:val="18"/>
                <w:szCs w:val="18"/>
              </w:rPr>
              <w:t xml:space="preserve">Finalità e descrizione generale (max 500 caratteri) </w:t>
            </w:r>
          </w:p>
          <w:p w14:paraId="0C426908" w14:textId="77777777" w:rsidR="008E4A0C" w:rsidRPr="004034A6" w:rsidRDefault="008E4A0C" w:rsidP="008E4A0C">
            <w:pPr>
              <w:suppressAutoHyphens/>
              <w:spacing w:after="0"/>
              <w:jc w:val="both"/>
              <w:rPr>
                <w:rFonts w:ascii="Calibri" w:eastAsia="Droid Sans Fallback" w:hAnsi="Calibri" w:cs="Calibri"/>
                <w:b/>
                <w:kern w:val="0"/>
                <w:sz w:val="18"/>
                <w:szCs w:val="18"/>
                <w14:ligatures w14:val="none"/>
              </w:rPr>
            </w:pPr>
            <w:r w:rsidRPr="004034A6">
              <w:rPr>
                <w:rFonts w:ascii="Calibri" w:eastAsia="Droid Sans Fallback" w:hAnsi="Calibri" w:cs="Calibri"/>
                <w:b/>
                <w:kern w:val="0"/>
                <w:sz w:val="18"/>
                <w:szCs w:val="18"/>
                <w14:ligatures w14:val="none"/>
              </w:rPr>
              <w:t>Motivazione</w:t>
            </w:r>
          </w:p>
          <w:p w14:paraId="6AC41A84" w14:textId="77777777" w:rsidR="008E4A0C" w:rsidRPr="004034A6" w:rsidRDefault="008E4A0C" w:rsidP="008E4A0C">
            <w:pPr>
              <w:suppressAutoHyphens/>
              <w:spacing w:after="0"/>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Gli interventi proposti per perseguire la SSL concorrono in maniera coordinata, anche attraverso i progetti di cooperazione locale, ad avviare o a proseguire un processo di sviluppo locale che dovrà in prima istanza riproporre gli stimoli già dati per la scrittura della presente proposta di SSL, per attivare a tempo debito le iniziative dei potenziali beneficiari.</w:t>
            </w:r>
          </w:p>
          <w:p w14:paraId="003A2627" w14:textId="77777777" w:rsidR="008E4A0C" w:rsidRPr="004034A6" w:rsidRDefault="008E4A0C" w:rsidP="008E4A0C">
            <w:pPr>
              <w:suppressAutoHyphens/>
              <w:spacing w:after="0"/>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Se il sistema economico e sociale, comprensivo del sistema delle imprese e delle pubbliche amministrazioni, si sono mostrati propositivi nel delineare i bisogni del territorio e pronti a concorrere alla SSL, occorre altresì stimolare l’avanzata del “nuovo” tanto più quando questo sia in grado di proporre idee di sviluppo coerenti con la SSL, tanto meglio se queste iniziative imprenditoriali rispecchiano gli stessi valori, la stessa vision, che hanno motivato la definizione della SSL e dei suoi obbiettivi.</w:t>
            </w:r>
          </w:p>
          <w:p w14:paraId="51D664BB" w14:textId="77777777" w:rsidR="008E4A0C" w:rsidRPr="004034A6" w:rsidRDefault="008E4A0C" w:rsidP="008E4A0C">
            <w:pPr>
              <w:suppressAutoHyphens/>
              <w:spacing w:after="0"/>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Il premio di cui alla presente scheda, diventa importante ai fini del buon esito della SSL, perché tali nuove imprese, ancor più di quelle esistenti, oltre che rappresentare singole realtà rivolte allo sviluppo territoriale, alla qualità della vita, alla sostenibilità ambientale, ecc., saranno concretamente l’esito degli stimoli portati dalla SSL, ma anche l’avvio, il volano di diffusione della buona pratica dello sviluppo ambientalmente sostenibile lanciata dalla stessa SSL.</w:t>
            </w:r>
          </w:p>
          <w:p w14:paraId="361C0936" w14:textId="77777777" w:rsidR="008E4A0C" w:rsidRPr="004034A6" w:rsidRDefault="008E4A0C" w:rsidP="00D9697C">
            <w:pPr>
              <w:jc w:val="both"/>
              <w:rPr>
                <w:rFonts w:cstheme="minorHAnsi"/>
                <w:sz w:val="18"/>
                <w:szCs w:val="18"/>
              </w:rPr>
            </w:pPr>
          </w:p>
          <w:p w14:paraId="4B6B15A7" w14:textId="77777777" w:rsidR="008E4A0C" w:rsidRPr="004034A6" w:rsidRDefault="008E4A0C" w:rsidP="008E4A0C">
            <w:pPr>
              <w:suppressAutoHyphens/>
              <w:spacing w:after="0"/>
              <w:jc w:val="both"/>
              <w:rPr>
                <w:rFonts w:ascii="Calibri" w:eastAsia="Droid Sans Fallback" w:hAnsi="Calibri" w:cs="Calibri"/>
                <w:b/>
                <w:kern w:val="0"/>
                <w:sz w:val="18"/>
                <w:szCs w:val="18"/>
                <w14:ligatures w14:val="none"/>
              </w:rPr>
            </w:pPr>
            <w:r w:rsidRPr="004034A6">
              <w:rPr>
                <w:rFonts w:ascii="Calibri" w:eastAsia="Droid Sans Fallback" w:hAnsi="Calibri" w:cs="Calibri"/>
                <w:b/>
                <w:kern w:val="0"/>
                <w:sz w:val="18"/>
                <w:szCs w:val="18"/>
                <w14:ligatures w14:val="none"/>
              </w:rPr>
              <w:t>Interventi previsti</w:t>
            </w:r>
          </w:p>
          <w:p w14:paraId="662A822E" w14:textId="77777777" w:rsidR="008E4A0C" w:rsidRPr="004034A6" w:rsidRDefault="008E4A0C" w:rsidP="008E4A0C">
            <w:pPr>
              <w:suppressAutoHyphens/>
              <w:spacing w:after="0"/>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Sostegno per l’avviamento (start-up) di nuove attività imprenditoriali, in ambito extra-agricolo nelle zone rurali, connesse alle strategie di sviluppo locale di tipo partecipativo di cui all'articolo 32 del regolamento (UE) 2021/1060.</w:t>
            </w:r>
          </w:p>
          <w:p w14:paraId="07D108BD" w14:textId="77777777" w:rsidR="008E4A0C" w:rsidRPr="004034A6" w:rsidRDefault="008E4A0C" w:rsidP="008E4A0C">
            <w:pPr>
              <w:suppressAutoHyphens/>
              <w:spacing w:after="0"/>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L’avvio di nuove imprese può essere sostenuto per la realizzazione di attività e servizi per:</w:t>
            </w:r>
          </w:p>
          <w:p w14:paraId="7948EEF5"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 xml:space="preserve">a) popolazione e target con esigenze specifiche (es. socioassistenziali, educativi, ricreativi, culturali, di mediazione, coworking, mobilità; </w:t>
            </w:r>
            <w:proofErr w:type="spellStart"/>
            <w:r w:rsidRPr="004034A6">
              <w:rPr>
                <w:rFonts w:ascii="Calibri" w:eastAsia="Droid Sans Fallback" w:hAnsi="Calibri" w:cs="Calibri"/>
                <w:bCs/>
                <w:kern w:val="0"/>
                <w:sz w:val="18"/>
                <w:szCs w:val="18"/>
                <w14:ligatures w14:val="none"/>
              </w:rPr>
              <w:t>ecc</w:t>
            </w:r>
            <w:proofErr w:type="spellEnd"/>
            <w:r w:rsidRPr="004034A6">
              <w:rPr>
                <w:rFonts w:ascii="Calibri" w:eastAsia="Droid Sans Fallback" w:hAnsi="Calibri" w:cs="Calibri"/>
                <w:bCs/>
                <w:kern w:val="0"/>
                <w:sz w:val="18"/>
                <w:szCs w:val="18"/>
                <w14:ligatures w14:val="none"/>
              </w:rPr>
              <w:t>);</w:t>
            </w:r>
          </w:p>
          <w:p w14:paraId="7E0424F6"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b) commercializzazione, la promozione, la comunicazione e IT;</w:t>
            </w:r>
          </w:p>
          <w:p w14:paraId="000AEA3B"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c) attività artigianali, manifatturiere;</w:t>
            </w:r>
          </w:p>
          <w:p w14:paraId="3DC88C76"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d) turismo rurale, ristorazione, ricettività, accoglienza, offerta ricreativa-culturale;</w:t>
            </w:r>
          </w:p>
          <w:p w14:paraId="51C15918"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e) valorizzazione di beni culturali e ambientali;</w:t>
            </w:r>
          </w:p>
          <w:p w14:paraId="0183C71D"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f) ambiente, economia circolare e bioeconomia;</w:t>
            </w:r>
          </w:p>
          <w:p w14:paraId="377A4B66"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g) produzione di energia da fonti rinnovabili e razionalizzazione dell’uso di energia;</w:t>
            </w:r>
          </w:p>
          <w:p w14:paraId="69AB53CE" w14:textId="77777777" w:rsidR="008E4A0C" w:rsidRPr="004034A6" w:rsidRDefault="008E4A0C" w:rsidP="008E4A0C">
            <w:pPr>
              <w:suppressAutoHyphens/>
              <w:spacing w:after="0"/>
              <w:ind w:left="320" w:hanging="142"/>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h) trasformazione e commercializzazione di prodotti, compresa la realizzazione di punti vendita.</w:t>
            </w:r>
          </w:p>
          <w:p w14:paraId="3120BF6A" w14:textId="2BB43206" w:rsidR="008E4A0C" w:rsidRPr="004034A6" w:rsidRDefault="008E4A0C" w:rsidP="00D9697C">
            <w:pPr>
              <w:jc w:val="both"/>
              <w:rPr>
                <w:rFonts w:cstheme="minorHAnsi"/>
                <w:sz w:val="18"/>
                <w:szCs w:val="18"/>
              </w:rPr>
            </w:pPr>
          </w:p>
        </w:tc>
      </w:tr>
    </w:tbl>
    <w:p w14:paraId="78C10FC9" w14:textId="77777777" w:rsidR="00061C1C" w:rsidRPr="004034A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A2518F" w:rsidRPr="004034A6" w14:paraId="422CE094"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A22E396" w14:textId="16AE8C9F" w:rsidR="00A2518F" w:rsidRPr="004034A6" w:rsidRDefault="00A2518F" w:rsidP="00A2518F">
            <w:pPr>
              <w:rPr>
                <w:rFonts w:cs="Cordia New"/>
                <w:b/>
                <w:caps/>
                <w:sz w:val="18"/>
                <w:szCs w:val="18"/>
              </w:rPr>
            </w:pPr>
            <w:r w:rsidRPr="004034A6">
              <w:rPr>
                <w:rFonts w:cs="Cordia New"/>
                <w:b/>
                <w:sz w:val="18"/>
                <w:szCs w:val="18"/>
              </w:rPr>
              <w:t>MODALITA’ DI ATTUAZIONE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C0B3F5" w14:textId="77777777" w:rsidR="00A2518F" w:rsidRPr="004034A6" w:rsidRDefault="00A2518F" w:rsidP="00A2518F">
            <w:pPr>
              <w:autoSpaceDE w:val="0"/>
              <w:autoSpaceDN w:val="0"/>
              <w:adjustRightInd w:val="0"/>
              <w:jc w:val="both"/>
              <w:rPr>
                <w:rFonts w:cstheme="minorHAnsi"/>
                <w:sz w:val="18"/>
                <w:szCs w:val="18"/>
              </w:rPr>
            </w:pPr>
            <w:r w:rsidRPr="004034A6">
              <w:rPr>
                <w:rFonts w:cstheme="minorHAnsi"/>
                <w:sz w:val="18"/>
                <w:szCs w:val="18"/>
              </w:rPr>
              <w:t>L’intervento verrà attivato sia tramite specifico avviso pubblico, sia all’interno di progetti di cooperazione di cui alla scheda d’intervento SRG07</w:t>
            </w:r>
          </w:p>
          <w:p w14:paraId="77819B39" w14:textId="77777777" w:rsidR="00A2518F" w:rsidRPr="004034A6" w:rsidRDefault="00A2518F" w:rsidP="00A2518F">
            <w:pPr>
              <w:jc w:val="both"/>
              <w:rPr>
                <w:rFonts w:cstheme="minorHAnsi"/>
                <w:sz w:val="18"/>
                <w:szCs w:val="18"/>
              </w:rPr>
            </w:pPr>
          </w:p>
        </w:tc>
      </w:tr>
      <w:tr w:rsidR="00A2518F" w:rsidRPr="004034A6" w14:paraId="63923941"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4987A239" w14:textId="77777777" w:rsidR="00A2518F" w:rsidRPr="004034A6" w:rsidRDefault="00A2518F" w:rsidP="00A2518F">
            <w:pPr>
              <w:rPr>
                <w:rFonts w:cs="Cordia New"/>
                <w:b/>
                <w:sz w:val="18"/>
                <w:szCs w:val="18"/>
              </w:rPr>
            </w:pPr>
            <w:r w:rsidRPr="004034A6">
              <w:rPr>
                <w:rFonts w:cs="Cordia New"/>
                <w:b/>
                <w:caps/>
                <w:sz w:val="18"/>
                <w:szCs w:val="18"/>
              </w:rPr>
              <w:t>principi di selezione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C31477" w14:textId="0675741B" w:rsidR="00A2518F" w:rsidRPr="004034A6" w:rsidRDefault="00A2518F" w:rsidP="00A2518F">
            <w:pPr>
              <w:jc w:val="both"/>
              <w:rPr>
                <w:rFonts w:cstheme="minorHAnsi"/>
                <w:sz w:val="18"/>
                <w:szCs w:val="18"/>
              </w:rPr>
            </w:pPr>
            <w:r w:rsidRPr="004034A6">
              <w:rPr>
                <w:rFonts w:cstheme="minorHAnsi"/>
                <w:sz w:val="18"/>
                <w:szCs w:val="18"/>
              </w:rPr>
              <w:t>L’intervento prevede l’utilizzo di criteri di selezione delle operazioni ai sensi dell’art. 79 del Regolamento (UE) 2021/2115. Tali criteri sono stabiliti dai GAL, ciascuno per il proprio ambito di competenza territoriale ai sensi dell’art. 33 del Regolamento (UE) 2021/1060.</w:t>
            </w:r>
          </w:p>
          <w:p w14:paraId="6EC3D1BE" w14:textId="4A3EE71B" w:rsidR="00A2518F" w:rsidRPr="004034A6" w:rsidRDefault="00A2518F" w:rsidP="00A2518F">
            <w:pPr>
              <w:jc w:val="both"/>
              <w:rPr>
                <w:rFonts w:cstheme="minorHAnsi"/>
                <w:sz w:val="18"/>
                <w:szCs w:val="18"/>
              </w:rPr>
            </w:pPr>
            <w:r w:rsidRPr="004034A6">
              <w:rPr>
                <w:rFonts w:cstheme="minorHAnsi"/>
                <w:sz w:val="18"/>
                <w:szCs w:val="18"/>
              </w:rPr>
              <w:t>I criteri dovranno essere definiti in modo da garantire la parità di trattamento dei richiedenti, un migliore utilizzo delle risorse finanziarie e l'orientamento del sostegno in conformità con gli obiettivi dell’intervento.</w:t>
            </w:r>
          </w:p>
          <w:p w14:paraId="01BB5EBC" w14:textId="77777777" w:rsidR="00A2518F" w:rsidRPr="004034A6" w:rsidRDefault="00A2518F" w:rsidP="00A2518F">
            <w:pPr>
              <w:spacing w:after="0"/>
              <w:jc w:val="both"/>
              <w:rPr>
                <w:rFonts w:cstheme="minorHAnsi"/>
                <w:sz w:val="18"/>
                <w:szCs w:val="18"/>
              </w:rPr>
            </w:pPr>
            <w:r w:rsidRPr="004034A6">
              <w:rPr>
                <w:rFonts w:cstheme="minorHAnsi"/>
                <w:sz w:val="18"/>
                <w:szCs w:val="18"/>
              </w:rPr>
              <w:t>A livello territoriale vengono definiti criteri di selezione basati sui seguenti principi:</w:t>
            </w:r>
          </w:p>
          <w:p w14:paraId="15939A00" w14:textId="0596B571" w:rsidR="00A2518F" w:rsidRPr="004034A6" w:rsidRDefault="00A2518F" w:rsidP="00A2518F">
            <w:pPr>
              <w:pStyle w:val="Paragrafoelenco"/>
              <w:numPr>
                <w:ilvl w:val="0"/>
                <w:numId w:val="13"/>
              </w:numPr>
              <w:jc w:val="both"/>
              <w:rPr>
                <w:rFonts w:cstheme="minorHAnsi"/>
                <w:sz w:val="18"/>
                <w:szCs w:val="18"/>
              </w:rPr>
            </w:pPr>
            <w:r w:rsidRPr="004034A6">
              <w:rPr>
                <w:rFonts w:cstheme="minorHAnsi"/>
                <w:sz w:val="18"/>
                <w:szCs w:val="18"/>
              </w:rPr>
              <w:t>Settori produttivi e di servizio oggetto di intervento;</w:t>
            </w:r>
          </w:p>
          <w:p w14:paraId="5A87AF4A" w14:textId="05C83268" w:rsidR="00A2518F" w:rsidRPr="004034A6" w:rsidRDefault="00A2518F" w:rsidP="00A2518F">
            <w:pPr>
              <w:pStyle w:val="Paragrafoelenco"/>
              <w:numPr>
                <w:ilvl w:val="0"/>
                <w:numId w:val="13"/>
              </w:numPr>
              <w:jc w:val="both"/>
              <w:rPr>
                <w:rFonts w:cstheme="minorHAnsi"/>
                <w:sz w:val="18"/>
                <w:szCs w:val="18"/>
              </w:rPr>
            </w:pPr>
            <w:r w:rsidRPr="004034A6">
              <w:rPr>
                <w:rFonts w:cstheme="minorHAnsi"/>
                <w:sz w:val="18"/>
                <w:szCs w:val="18"/>
              </w:rPr>
              <w:t>Localizzazione dell’insediamento (ad es. aree rurali, aree svantaggiate, ecc.);</w:t>
            </w:r>
          </w:p>
          <w:p w14:paraId="225C9A0D" w14:textId="6C426518" w:rsidR="00A2518F" w:rsidRPr="004034A6" w:rsidRDefault="00A2518F" w:rsidP="00A2518F">
            <w:pPr>
              <w:pStyle w:val="Paragrafoelenco"/>
              <w:numPr>
                <w:ilvl w:val="0"/>
                <w:numId w:val="13"/>
              </w:numPr>
              <w:jc w:val="both"/>
              <w:rPr>
                <w:rFonts w:cstheme="minorHAnsi"/>
                <w:sz w:val="18"/>
                <w:szCs w:val="18"/>
              </w:rPr>
            </w:pPr>
            <w:r w:rsidRPr="004034A6">
              <w:rPr>
                <w:rFonts w:cstheme="minorHAnsi"/>
                <w:sz w:val="18"/>
                <w:szCs w:val="18"/>
              </w:rPr>
              <w:t>Accesso combinato ad altri interventi dello sviluppo rurale o finanziati da altri fondi;</w:t>
            </w:r>
          </w:p>
          <w:p w14:paraId="5FB5D18B" w14:textId="01565FB6" w:rsidR="00A2518F" w:rsidRPr="004034A6" w:rsidRDefault="00A2518F" w:rsidP="00A2518F">
            <w:pPr>
              <w:pStyle w:val="Paragrafoelenco"/>
              <w:numPr>
                <w:ilvl w:val="0"/>
                <w:numId w:val="13"/>
              </w:numPr>
              <w:jc w:val="both"/>
              <w:rPr>
                <w:rFonts w:cstheme="minorHAnsi"/>
                <w:sz w:val="18"/>
                <w:szCs w:val="18"/>
              </w:rPr>
            </w:pPr>
            <w:r w:rsidRPr="004034A6">
              <w:rPr>
                <w:rFonts w:cstheme="minorHAnsi"/>
                <w:sz w:val="18"/>
                <w:szCs w:val="18"/>
              </w:rPr>
              <w:t>Qualità del soggetto richiedente (ad es. donne, beneficiari più giovani, condizione di sottooccupazione/disoccupazione, formazione o competenze, ecc.);</w:t>
            </w:r>
          </w:p>
          <w:p w14:paraId="5A08BCCE" w14:textId="77777777" w:rsidR="00A2518F" w:rsidRPr="004034A6" w:rsidRDefault="00A2518F" w:rsidP="00A2518F">
            <w:pPr>
              <w:pStyle w:val="Paragrafoelenco"/>
              <w:numPr>
                <w:ilvl w:val="0"/>
                <w:numId w:val="13"/>
              </w:numPr>
              <w:jc w:val="both"/>
              <w:rPr>
                <w:rFonts w:cstheme="minorHAnsi"/>
                <w:sz w:val="18"/>
                <w:szCs w:val="18"/>
              </w:rPr>
            </w:pPr>
            <w:r w:rsidRPr="004034A6">
              <w:rPr>
                <w:rFonts w:cstheme="minorHAnsi"/>
                <w:sz w:val="18"/>
                <w:szCs w:val="18"/>
              </w:rPr>
              <w:t>Contenuti del piano aziendale (tipologie di spese).</w:t>
            </w:r>
          </w:p>
          <w:p w14:paraId="2F4D4296" w14:textId="77777777" w:rsidR="00A2518F" w:rsidRPr="004034A6" w:rsidRDefault="00A2518F" w:rsidP="00A2518F">
            <w:pPr>
              <w:jc w:val="both"/>
              <w:rPr>
                <w:rFonts w:cstheme="minorHAnsi"/>
                <w:sz w:val="18"/>
                <w:szCs w:val="18"/>
              </w:rPr>
            </w:pPr>
          </w:p>
          <w:p w14:paraId="2FFE7665" w14:textId="30BDDA21" w:rsidR="00463DB8" w:rsidRPr="008E4A0C" w:rsidRDefault="00463DB8" w:rsidP="00463DB8">
            <w:pPr>
              <w:jc w:val="both"/>
              <w:rPr>
                <w:rFonts w:cstheme="minorHAnsi"/>
                <w:sz w:val="18"/>
                <w:szCs w:val="18"/>
              </w:rPr>
            </w:pPr>
            <w:r>
              <w:rPr>
                <w:rFonts w:cstheme="minorHAnsi"/>
                <w:sz w:val="18"/>
                <w:szCs w:val="18"/>
              </w:rPr>
              <w:t>Si potranno prevedere</w:t>
            </w:r>
            <w:r w:rsidR="00111C38" w:rsidRPr="004034A6">
              <w:rPr>
                <w:rFonts w:cstheme="minorHAnsi"/>
                <w:sz w:val="18"/>
                <w:szCs w:val="18"/>
              </w:rPr>
              <w:t xml:space="preserve"> tra i criteri di selezione premialità per le attività avviate nei settori</w:t>
            </w:r>
            <w:r>
              <w:rPr>
                <w:rFonts w:cstheme="minorHAnsi"/>
                <w:sz w:val="18"/>
                <w:szCs w:val="18"/>
              </w:rPr>
              <w:t xml:space="preserve">  </w:t>
            </w:r>
            <w:r w:rsidR="00111C38" w:rsidRPr="004034A6">
              <w:rPr>
                <w:rFonts w:cstheme="minorHAnsi"/>
                <w:sz w:val="18"/>
                <w:szCs w:val="18"/>
              </w:rPr>
              <w:t xml:space="preserve">e, f, g indicati al CR05 e/o </w:t>
            </w:r>
            <w:r>
              <w:rPr>
                <w:rFonts w:eastAsiaTheme="minorEastAsia"/>
                <w:sz w:val="18"/>
                <w:szCs w:val="18"/>
              </w:rPr>
              <w:t>per</w:t>
            </w:r>
            <w:r w:rsidRPr="30DA6B6E">
              <w:rPr>
                <w:rFonts w:eastAsiaTheme="minorEastAsia"/>
                <w:sz w:val="18"/>
                <w:szCs w:val="18"/>
              </w:rPr>
              <w:t xml:space="preserve"> startup che valorizzino la sostenibilità ambientale e paesaggistica</w:t>
            </w:r>
            <w:r>
              <w:rPr>
                <w:rFonts w:eastAsiaTheme="minorEastAsia"/>
                <w:sz w:val="18"/>
                <w:szCs w:val="18"/>
              </w:rPr>
              <w:t xml:space="preserve"> e/o</w:t>
            </w:r>
            <w:r w:rsidRPr="30DA6B6E">
              <w:rPr>
                <w:rFonts w:eastAsiaTheme="minorEastAsia"/>
                <w:sz w:val="18"/>
                <w:szCs w:val="18"/>
              </w:rPr>
              <w:t xml:space="preserve"> che prevedano di attivare un sistema di gestione ambientale fin dall’inizio e che si rifacciano ai principi del green project management</w:t>
            </w:r>
            <w:r>
              <w:rPr>
                <w:rFonts w:eastAsiaTheme="minorEastAsia"/>
                <w:sz w:val="18"/>
                <w:szCs w:val="18"/>
              </w:rPr>
              <w:t>.</w:t>
            </w:r>
          </w:p>
          <w:p w14:paraId="653098A2" w14:textId="5010C3E7" w:rsidR="00111C38" w:rsidRPr="004034A6" w:rsidRDefault="00111C38" w:rsidP="00A2518F">
            <w:pPr>
              <w:jc w:val="both"/>
              <w:rPr>
                <w:rFonts w:cstheme="minorHAnsi"/>
                <w:sz w:val="18"/>
                <w:szCs w:val="18"/>
              </w:rPr>
            </w:pPr>
          </w:p>
          <w:p w14:paraId="1AB57D52" w14:textId="77777777" w:rsidR="00A2518F" w:rsidRPr="004034A6" w:rsidRDefault="00A2518F" w:rsidP="00A2518F">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4034A6">
              <w:rPr>
                <w:rFonts w:ascii="Calibri" w:eastAsia="Droid Sans Fallback" w:hAnsi="Calibri" w:cs="Cordia New"/>
                <w:b/>
                <w:bCs/>
                <w:color w:val="000000"/>
                <w:kern w:val="0"/>
                <w:sz w:val="18"/>
                <w:szCs w:val="18"/>
                <w14:ligatures w14:val="none"/>
              </w:rPr>
              <w:t>Indirizzi attuativi preliminari</w:t>
            </w:r>
          </w:p>
          <w:p w14:paraId="642D3198" w14:textId="77777777" w:rsidR="00A2518F" w:rsidRPr="004034A6" w:rsidRDefault="00A2518F" w:rsidP="00A2518F">
            <w:pPr>
              <w:suppressAutoHyphens/>
              <w:spacing w:after="0"/>
              <w:jc w:val="both"/>
              <w:rPr>
                <w:rFonts w:ascii="Calibri" w:eastAsia="Droid Sans Fallback" w:hAnsi="Calibri" w:cs="Calibri"/>
                <w:bCs/>
                <w:kern w:val="0"/>
                <w:sz w:val="18"/>
                <w:szCs w:val="18"/>
                <w14:ligatures w14:val="none"/>
              </w:rPr>
            </w:pPr>
            <w:bookmarkStart w:id="0" w:name="_Hlk130480705"/>
            <w:r w:rsidRPr="004034A6">
              <w:rPr>
                <w:rFonts w:ascii="Calibri" w:eastAsia="Droid Sans Fallback" w:hAnsi="Calibri" w:cs="Calibri"/>
                <w:bCs/>
                <w:kern w:val="0"/>
                <w:sz w:val="18"/>
                <w:szCs w:val="18"/>
                <w14:ligatures w14:val="none"/>
              </w:rPr>
              <w:t xml:space="preserve">Prevedere criteri di premialità </w:t>
            </w:r>
            <w:bookmarkEnd w:id="0"/>
            <w:r w:rsidRPr="004034A6">
              <w:rPr>
                <w:rFonts w:ascii="Calibri" w:eastAsia="Droid Sans Fallback" w:hAnsi="Calibri" w:cs="Calibri"/>
                <w:bCs/>
                <w:kern w:val="0"/>
                <w:sz w:val="18"/>
                <w:szCs w:val="18"/>
                <w14:ligatures w14:val="none"/>
              </w:rPr>
              <w:t>che tengano conto delle diverse ricadute dell’intervento con riferimento agli obbiettivi e agli effetti attesi.</w:t>
            </w:r>
          </w:p>
          <w:p w14:paraId="73324FA2" w14:textId="0C61C16A" w:rsidR="000E5053" w:rsidRPr="004034A6" w:rsidRDefault="00A2518F" w:rsidP="002F3FE1">
            <w:pPr>
              <w:suppressAutoHyphens/>
              <w:spacing w:after="0"/>
              <w:jc w:val="both"/>
              <w:rPr>
                <w:rFonts w:eastAsia="Times New Roman" w:cstheme="minorHAnsi"/>
                <w:sz w:val="18"/>
                <w:szCs w:val="18"/>
                <w:lang w:eastAsia="it-IT"/>
              </w:rPr>
            </w:pPr>
            <w:r w:rsidRPr="004034A6">
              <w:rPr>
                <w:rFonts w:ascii="Calibri" w:eastAsia="Droid Sans Fallback" w:hAnsi="Calibri" w:cs="Calibri"/>
                <w:bCs/>
                <w:kern w:val="0"/>
                <w:sz w:val="18"/>
                <w:szCs w:val="18"/>
                <w14:ligatures w14:val="none"/>
              </w:rPr>
              <w:t>Prevedere criteri di premialità che tengano conto della connessione ad altre attività che concorrono alla SSL, non necessariamente finanziati dal GAL, compresi gli interventi di valorizzazione della fruizione</w:t>
            </w:r>
            <w:r w:rsidR="002F3FE1" w:rsidRPr="004034A6">
              <w:rPr>
                <w:rFonts w:eastAsia="Times New Roman" w:cstheme="minorHAnsi"/>
                <w:sz w:val="18"/>
                <w:szCs w:val="18"/>
                <w:lang w:eastAsia="it-IT"/>
              </w:rPr>
              <w:t xml:space="preserve">. </w:t>
            </w:r>
            <w:r w:rsidR="000E5053" w:rsidRPr="004034A6">
              <w:rPr>
                <w:rFonts w:eastAsia="Times New Roman" w:cstheme="minorHAnsi"/>
                <w:sz w:val="18"/>
                <w:szCs w:val="18"/>
                <w:lang w:eastAsia="it-IT"/>
              </w:rPr>
              <w:t>In particolare i criteri dovranno prevedere premialità per la qualità progettuale (es: coerenza con obbiettivi della SSL, innovatività, chiarezza del progetto)</w:t>
            </w:r>
          </w:p>
          <w:p w14:paraId="6C2601D8" w14:textId="77777777" w:rsidR="000E5053" w:rsidRPr="004034A6" w:rsidRDefault="000E5053" w:rsidP="000E5053">
            <w:pPr>
              <w:spacing w:after="0" w:line="240" w:lineRule="auto"/>
              <w:ind w:left="10" w:hanging="10"/>
              <w:jc w:val="both"/>
              <w:rPr>
                <w:rFonts w:eastAsia="Times New Roman" w:cstheme="minorHAnsi"/>
                <w:kern w:val="0"/>
                <w:sz w:val="18"/>
                <w:szCs w:val="18"/>
                <w:lang w:eastAsia="it-IT"/>
                <w14:ligatures w14:val="none"/>
              </w:rPr>
            </w:pPr>
          </w:p>
          <w:p w14:paraId="4EE830E2" w14:textId="77777777" w:rsidR="000E5053" w:rsidRPr="004034A6" w:rsidRDefault="000E5053" w:rsidP="00A2518F">
            <w:pPr>
              <w:suppressAutoHyphens/>
              <w:spacing w:after="0"/>
              <w:jc w:val="both"/>
              <w:rPr>
                <w:rFonts w:ascii="Calibri" w:eastAsia="Droid Sans Fallback" w:hAnsi="Calibri" w:cs="Calibri"/>
                <w:bCs/>
                <w:kern w:val="0"/>
                <w:sz w:val="18"/>
                <w:szCs w:val="18"/>
                <w14:ligatures w14:val="none"/>
              </w:rPr>
            </w:pPr>
          </w:p>
          <w:p w14:paraId="279859B0" w14:textId="77777777" w:rsidR="00A2518F" w:rsidRPr="004034A6" w:rsidRDefault="00A2518F" w:rsidP="00A2518F">
            <w:pPr>
              <w:jc w:val="both"/>
              <w:rPr>
                <w:rFonts w:cstheme="minorHAnsi"/>
                <w:sz w:val="18"/>
                <w:szCs w:val="18"/>
              </w:rPr>
            </w:pPr>
          </w:p>
          <w:p w14:paraId="559F83DB" w14:textId="643216E0" w:rsidR="00A2518F" w:rsidRPr="004034A6" w:rsidRDefault="00A2518F" w:rsidP="00A2518F">
            <w:pPr>
              <w:pStyle w:val="Paragrafoelenco"/>
              <w:jc w:val="both"/>
              <w:rPr>
                <w:rFonts w:cstheme="minorHAnsi"/>
                <w:sz w:val="18"/>
                <w:szCs w:val="18"/>
              </w:rPr>
            </w:pPr>
          </w:p>
        </w:tc>
      </w:tr>
    </w:tbl>
    <w:p w14:paraId="7EF741BE" w14:textId="77777777" w:rsidR="00C46962" w:rsidRPr="004034A6"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AB7EAD" w:rsidRPr="004034A6" w14:paraId="3AE5D228"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93B864C" w14:textId="77777777" w:rsidR="00AB7EAD" w:rsidRPr="004034A6" w:rsidRDefault="00AB7EAD" w:rsidP="00AB7EAD">
            <w:pPr>
              <w:rPr>
                <w:rFonts w:cstheme="minorHAnsi"/>
                <w:b/>
                <w:caps/>
                <w:color w:val="000000"/>
                <w:sz w:val="18"/>
                <w:szCs w:val="18"/>
              </w:rPr>
            </w:pPr>
            <w:r w:rsidRPr="004034A6">
              <w:rPr>
                <w:rFonts w:cs="Cordia New"/>
                <w:b/>
                <w:color w:val="000000"/>
                <w:sz w:val="18"/>
                <w:szCs w:val="18"/>
              </w:rPr>
              <w:t>BENEFICIARI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30F895" w14:textId="7C69C69E" w:rsidR="0014029A" w:rsidRPr="004034A6" w:rsidRDefault="0014029A" w:rsidP="0014029A">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Persone fisiche</w:t>
            </w:r>
          </w:p>
          <w:p w14:paraId="52BD59D3" w14:textId="00F59F80" w:rsidR="0014029A" w:rsidRPr="004034A6" w:rsidRDefault="0014029A" w:rsidP="0014029A">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Microimprese o piccole imprese</w:t>
            </w:r>
          </w:p>
          <w:p w14:paraId="452BCA7F" w14:textId="69F4ADF7" w:rsidR="0014029A" w:rsidRPr="004034A6" w:rsidRDefault="0014029A" w:rsidP="0014029A">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Aggregazioni di persone fisiche e/o microimprese o piccole imprese</w:t>
            </w:r>
          </w:p>
          <w:p w14:paraId="063BB044" w14:textId="7065F3F4" w:rsidR="00AB7EAD" w:rsidRPr="004034A6" w:rsidRDefault="00AB7EAD" w:rsidP="006B3EE0">
            <w:pPr>
              <w:autoSpaceDE w:val="0"/>
              <w:autoSpaceDN w:val="0"/>
              <w:adjustRightInd w:val="0"/>
              <w:jc w:val="both"/>
              <w:rPr>
                <w:rFonts w:cs="Cordia New"/>
                <w:color w:val="000000"/>
                <w:sz w:val="18"/>
                <w:szCs w:val="18"/>
              </w:rPr>
            </w:pPr>
          </w:p>
        </w:tc>
      </w:tr>
      <w:tr w:rsidR="00A3681B" w:rsidRPr="004034A6" w14:paraId="57551795"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C9EBA8D" w14:textId="0D43D931" w:rsidR="00A3681B" w:rsidRPr="004034A6" w:rsidRDefault="00E75E1E" w:rsidP="0014029A">
            <w:pPr>
              <w:jc w:val="both"/>
              <w:rPr>
                <w:rFonts w:cs="Cordia New"/>
                <w:b/>
                <w:color w:val="000000"/>
                <w:sz w:val="18"/>
                <w:szCs w:val="18"/>
              </w:rPr>
            </w:pPr>
            <w:r w:rsidRPr="004034A6">
              <w:rPr>
                <w:rFonts w:cs="Cordia New"/>
                <w:b/>
                <w:color w:val="000000"/>
                <w:sz w:val="18"/>
                <w:szCs w:val="18"/>
              </w:rPr>
              <w:t>CRITERI DI AMMISSIBILITA’</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40865D" w14:textId="0A6F47E6" w:rsidR="00FD7E1E" w:rsidRPr="004034A6" w:rsidRDefault="0014029A" w:rsidP="0014029A">
            <w:pPr>
              <w:spacing w:after="0"/>
              <w:jc w:val="both"/>
              <w:rPr>
                <w:rFonts w:cs="Cordia New"/>
                <w:color w:val="000000"/>
                <w:sz w:val="18"/>
                <w:szCs w:val="18"/>
              </w:rPr>
            </w:pPr>
            <w:r w:rsidRPr="004034A6">
              <w:rPr>
                <w:rFonts w:cs="Cordia New"/>
                <w:color w:val="000000"/>
                <w:sz w:val="18"/>
                <w:szCs w:val="18"/>
              </w:rPr>
              <w:t>Può essere sostenuto l’avvio di nuove imprese in tutti i settori produttivi e di servizio per la realizzazione di attività e servizi per:</w:t>
            </w:r>
          </w:p>
          <w:p w14:paraId="4DD51D25" w14:textId="77777777" w:rsidR="00FD7E1E" w:rsidRPr="004034A6" w:rsidRDefault="00FD7E1E" w:rsidP="0014029A">
            <w:pPr>
              <w:spacing w:after="0"/>
              <w:jc w:val="both"/>
              <w:rPr>
                <w:rFonts w:cs="Cordia New"/>
                <w:color w:val="000000"/>
                <w:sz w:val="18"/>
                <w:szCs w:val="18"/>
              </w:rPr>
            </w:pPr>
          </w:p>
          <w:p w14:paraId="53297A18" w14:textId="7744E907" w:rsidR="0014029A" w:rsidRPr="004034A6" w:rsidRDefault="0014029A" w:rsidP="00E75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 xml:space="preserve">popolazione e target con esigenze specifiche (es. socioassistenziali, educativi, ricreativi, culturali, di mediazione, coworking, mobilità; </w:t>
            </w:r>
            <w:proofErr w:type="spellStart"/>
            <w:r w:rsidRPr="004034A6">
              <w:rPr>
                <w:rFonts w:cs="Cordia New"/>
                <w:color w:val="000000"/>
                <w:sz w:val="18"/>
                <w:szCs w:val="18"/>
              </w:rPr>
              <w:t>ecc</w:t>
            </w:r>
            <w:proofErr w:type="spellEnd"/>
            <w:r w:rsidRPr="004034A6">
              <w:rPr>
                <w:rFonts w:cs="Cordia New"/>
                <w:color w:val="000000"/>
                <w:sz w:val="18"/>
                <w:szCs w:val="18"/>
              </w:rPr>
              <w:t>);</w:t>
            </w:r>
          </w:p>
          <w:p w14:paraId="793DD0B1" w14:textId="29ACB6EB" w:rsidR="0014029A" w:rsidRPr="004034A6" w:rsidRDefault="0014029A" w:rsidP="00E75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commercializzazione, la promozione, la comunicazione e IT;</w:t>
            </w:r>
          </w:p>
          <w:p w14:paraId="537C1EAB" w14:textId="61F21522" w:rsidR="0014029A" w:rsidRPr="004034A6" w:rsidRDefault="0014029A" w:rsidP="00E75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attività artigianali, manifatturiere;</w:t>
            </w:r>
          </w:p>
          <w:p w14:paraId="5BB17670" w14:textId="1F21A94C" w:rsidR="0014029A" w:rsidRPr="004034A6" w:rsidRDefault="0014029A" w:rsidP="00E75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turismo rurale, ristorazione, ricettività, accoglienza, offerta ricreativa-culturale;</w:t>
            </w:r>
          </w:p>
          <w:p w14:paraId="42198B3E" w14:textId="69688A52" w:rsidR="0014029A" w:rsidRPr="004034A6" w:rsidRDefault="0014029A" w:rsidP="00E75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valorizzazione di beni culturali e ambientali;</w:t>
            </w:r>
          </w:p>
          <w:p w14:paraId="68FF9A38" w14:textId="6A8F5117" w:rsidR="0014029A" w:rsidRPr="004034A6" w:rsidRDefault="0014029A" w:rsidP="00E75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ambiente, economia circolare e bioeconomia;</w:t>
            </w:r>
          </w:p>
          <w:p w14:paraId="30CC483C" w14:textId="1726CF60" w:rsidR="0014029A" w:rsidRPr="004034A6" w:rsidRDefault="0014029A" w:rsidP="00E75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produzione di energia da fonti rinnovabili e razionalizzazione dell’uso di energia;</w:t>
            </w:r>
          </w:p>
          <w:p w14:paraId="4DBC7E01" w14:textId="19B18D71" w:rsidR="00E75E1E" w:rsidRPr="004034A6" w:rsidRDefault="0014029A" w:rsidP="00007A7F">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trasformazione e commercializzazione di prodotti, compresa la realizzazione di punti vendita.</w:t>
            </w:r>
          </w:p>
          <w:p w14:paraId="5196A303" w14:textId="77777777" w:rsidR="00007A7F" w:rsidRPr="004034A6" w:rsidRDefault="00007A7F" w:rsidP="00007A7F">
            <w:pPr>
              <w:pStyle w:val="Paragrafoelenco"/>
              <w:autoSpaceDE w:val="0"/>
              <w:autoSpaceDN w:val="0"/>
              <w:adjustRightInd w:val="0"/>
              <w:ind w:left="316"/>
              <w:jc w:val="both"/>
              <w:rPr>
                <w:rFonts w:cs="Cordia New"/>
                <w:color w:val="000000"/>
                <w:sz w:val="18"/>
                <w:szCs w:val="18"/>
              </w:rPr>
            </w:pPr>
          </w:p>
          <w:p w14:paraId="04CBF766" w14:textId="77777777" w:rsidR="00E75E1E" w:rsidRPr="004034A6" w:rsidRDefault="00E75E1E" w:rsidP="00E75E1E">
            <w:pPr>
              <w:jc w:val="both"/>
              <w:rPr>
                <w:rFonts w:cs="Cordia New"/>
                <w:color w:val="000000"/>
                <w:sz w:val="18"/>
                <w:szCs w:val="18"/>
              </w:rPr>
            </w:pPr>
            <w:r w:rsidRPr="004034A6">
              <w:rPr>
                <w:rFonts w:cs="Cordia New"/>
                <w:color w:val="000000"/>
                <w:sz w:val="18"/>
                <w:szCs w:val="18"/>
              </w:rPr>
              <w:t>La domanda di sostegno deve essere corredata dalla presentazione di un piano aziendale per Lo sviluppo dell’attività extra agricola.</w:t>
            </w:r>
          </w:p>
          <w:p w14:paraId="27A4D257" w14:textId="77777777" w:rsidR="00E75E1E" w:rsidRPr="004034A6" w:rsidRDefault="00E75E1E" w:rsidP="00E75E1E">
            <w:pPr>
              <w:jc w:val="both"/>
              <w:rPr>
                <w:rFonts w:cs="Cordia New"/>
                <w:color w:val="000000"/>
                <w:sz w:val="18"/>
                <w:szCs w:val="18"/>
              </w:rPr>
            </w:pPr>
            <w:r w:rsidRPr="004034A6">
              <w:rPr>
                <w:rFonts w:cs="Cordia New"/>
                <w:color w:val="000000"/>
                <w:sz w:val="18"/>
                <w:szCs w:val="18"/>
              </w:rPr>
              <w:t>Il piano aziendale deve inquadrare la situazione di partenza dell’insediamento, l’idea imprenditoriale che si intende attuare, le tappe essenziali che caratterizzano le attività ed i tempi di attuazione, gli obiettivi e risultati che si intende raggiungere.</w:t>
            </w:r>
          </w:p>
          <w:p w14:paraId="4554867F" w14:textId="77777777" w:rsidR="008E4A0C" w:rsidRPr="004034A6" w:rsidRDefault="008E4A0C" w:rsidP="00E75E1E">
            <w:pPr>
              <w:jc w:val="both"/>
              <w:rPr>
                <w:rFonts w:cs="Cordia New"/>
                <w:color w:val="000000"/>
                <w:sz w:val="18"/>
                <w:szCs w:val="18"/>
              </w:rPr>
            </w:pPr>
          </w:p>
          <w:p w14:paraId="450BFCFA" w14:textId="77777777" w:rsidR="008E4A0C" w:rsidRPr="004034A6" w:rsidRDefault="008E4A0C" w:rsidP="008E4A0C">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4034A6">
              <w:rPr>
                <w:rFonts w:ascii="Calibri" w:eastAsia="Droid Sans Fallback" w:hAnsi="Calibri" w:cs="Cordia New"/>
                <w:b/>
                <w:bCs/>
                <w:color w:val="000000"/>
                <w:kern w:val="0"/>
                <w:sz w:val="18"/>
                <w:szCs w:val="18"/>
                <w14:ligatures w14:val="none"/>
              </w:rPr>
              <w:t>Indirizzi attuativi preliminari</w:t>
            </w:r>
          </w:p>
          <w:p w14:paraId="420686B7" w14:textId="77777777" w:rsidR="008E4A0C" w:rsidRPr="004034A6" w:rsidRDefault="008E4A0C" w:rsidP="008E4A0C">
            <w:pPr>
              <w:suppressAutoHyphens/>
              <w:spacing w:after="0"/>
              <w:jc w:val="both"/>
              <w:rPr>
                <w:rFonts w:ascii="Calibri" w:eastAsia="Droid Sans Fallback" w:hAnsi="Calibri" w:cs="Calibri"/>
                <w:bCs/>
                <w:kern w:val="0"/>
                <w:sz w:val="18"/>
                <w:szCs w:val="18"/>
                <w14:ligatures w14:val="none"/>
              </w:rPr>
            </w:pPr>
            <w:r w:rsidRPr="004034A6">
              <w:rPr>
                <w:rFonts w:ascii="Calibri" w:eastAsia="Droid Sans Fallback" w:hAnsi="Calibri" w:cs="Calibri"/>
                <w:bCs/>
                <w:kern w:val="0"/>
                <w:sz w:val="18"/>
                <w:szCs w:val="18"/>
                <w14:ligatures w14:val="none"/>
              </w:rPr>
              <w:t>Prevedere criteri di ammissibilità per garantire la coerenza dell’iniziativa imprenditoriale proposta rispetto alla SSL, agli obbiettivi e agli effetti attesi.</w:t>
            </w:r>
          </w:p>
          <w:p w14:paraId="7067C09C" w14:textId="7865B751" w:rsidR="008E4A0C" w:rsidRPr="004034A6" w:rsidRDefault="008E4A0C" w:rsidP="00E75E1E">
            <w:pPr>
              <w:jc w:val="both"/>
              <w:rPr>
                <w:rFonts w:cs="Cordia New"/>
                <w:color w:val="000000"/>
                <w:sz w:val="18"/>
                <w:szCs w:val="18"/>
              </w:rPr>
            </w:pPr>
          </w:p>
        </w:tc>
      </w:tr>
      <w:tr w:rsidR="00A3681B" w:rsidRPr="004034A6" w14:paraId="12E007F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6ECD38F1" w14:textId="72CD96F9" w:rsidR="00A3681B" w:rsidRPr="004034A6" w:rsidRDefault="00A3681B" w:rsidP="00A3681B">
            <w:pPr>
              <w:rPr>
                <w:rFonts w:cs="Cordia New"/>
                <w:b/>
                <w:caps/>
                <w:color w:val="000000"/>
                <w:sz w:val="18"/>
                <w:szCs w:val="18"/>
              </w:rPr>
            </w:pPr>
            <w:r w:rsidRPr="004034A6">
              <w:rPr>
                <w:rFonts w:cs="Cordia New"/>
                <w:b/>
                <w:caps/>
                <w:color w:val="000000"/>
                <w:sz w:val="18"/>
                <w:szCs w:val="18"/>
              </w:rPr>
              <w:t xml:space="preserve">IMPEGNI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EB6661" w14:textId="36ECEADD" w:rsidR="00FD7E1E" w:rsidRPr="004034A6" w:rsidRDefault="00FD7E1E" w:rsidP="00FD7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I beneficiari sono obbligati a rendere effettivo l’insediamento e ad avviare e completare le attività previste dal piano secondo i tempi e le modalità definite da ciascuna Regione e Provincia autonoma e nell’ambito delle Strategie di Sviluppo Locale LEADER.</w:t>
            </w:r>
          </w:p>
          <w:p w14:paraId="428C041D" w14:textId="77777777" w:rsidR="00A3681B" w:rsidRPr="004034A6" w:rsidRDefault="00FD7E1E" w:rsidP="00FD7E1E">
            <w:pPr>
              <w:pStyle w:val="Paragrafoelenco"/>
              <w:numPr>
                <w:ilvl w:val="0"/>
                <w:numId w:val="14"/>
              </w:numPr>
              <w:autoSpaceDE w:val="0"/>
              <w:autoSpaceDN w:val="0"/>
              <w:adjustRightInd w:val="0"/>
              <w:ind w:left="316" w:hanging="316"/>
              <w:jc w:val="both"/>
              <w:rPr>
                <w:rFonts w:cs="Cordia New"/>
                <w:color w:val="000000"/>
                <w:sz w:val="18"/>
                <w:szCs w:val="18"/>
              </w:rPr>
            </w:pPr>
            <w:r w:rsidRPr="004034A6">
              <w:rPr>
                <w:rFonts w:cs="Cordia New"/>
                <w:color w:val="000000"/>
                <w:sz w:val="18"/>
                <w:szCs w:val="18"/>
              </w:rPr>
              <w:t>Condurre l’azienda per un periodo minimo di tempo definito da ciascuna Regione e provincia autonoma e nell’ambito delle Strategie di Sviluppo Locale LEADER.</w:t>
            </w:r>
          </w:p>
          <w:p w14:paraId="3BE9C965" w14:textId="0CCF2775" w:rsidR="006B3EE0" w:rsidRPr="004034A6" w:rsidRDefault="006B3EE0" w:rsidP="006B3EE0">
            <w:pPr>
              <w:pStyle w:val="Paragrafoelenco"/>
              <w:autoSpaceDE w:val="0"/>
              <w:autoSpaceDN w:val="0"/>
              <w:adjustRightInd w:val="0"/>
              <w:ind w:left="316"/>
              <w:jc w:val="both"/>
              <w:rPr>
                <w:rFonts w:cs="Cordia New"/>
                <w:color w:val="000000"/>
                <w:sz w:val="18"/>
                <w:szCs w:val="18"/>
              </w:rPr>
            </w:pPr>
          </w:p>
        </w:tc>
      </w:tr>
      <w:tr w:rsidR="007320EB" w:rsidRPr="004034A6" w14:paraId="47F340FC"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00FFFDC7" w14:textId="2CE33511" w:rsidR="007320EB" w:rsidRPr="004034A6" w:rsidRDefault="007320EB" w:rsidP="007320EB">
            <w:pPr>
              <w:rPr>
                <w:rFonts w:cs="Cordia New"/>
                <w:b/>
                <w:caps/>
                <w:color w:val="000000"/>
                <w:sz w:val="18"/>
                <w:szCs w:val="18"/>
              </w:rPr>
            </w:pPr>
            <w:r w:rsidRPr="004034A6">
              <w:rPr>
                <w:rFonts w:cs="Cordia New"/>
                <w:b/>
                <w:caps/>
                <w:color w:val="000000"/>
                <w:sz w:val="18"/>
                <w:szCs w:val="18"/>
              </w:rPr>
              <w:t>ammissibilita’ delle spese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97468F" w14:textId="77777777" w:rsidR="008D57D1" w:rsidRPr="004034A6" w:rsidRDefault="008D57D1" w:rsidP="008D57D1">
            <w:pPr>
              <w:jc w:val="both"/>
              <w:rPr>
                <w:rFonts w:cs="Cordia New"/>
                <w:color w:val="000000"/>
                <w:sz w:val="18"/>
                <w:szCs w:val="18"/>
              </w:rPr>
            </w:pPr>
            <w:r w:rsidRPr="004034A6">
              <w:rPr>
                <w:rFonts w:cs="Cordia New"/>
                <w:color w:val="000000"/>
                <w:sz w:val="18"/>
                <w:szCs w:val="18"/>
              </w:rPr>
              <w:t>Si applica quanto previsto alle Sezioni 4.7.1. e 4.7.3, paragrafo 1 del PSP.</w:t>
            </w:r>
          </w:p>
          <w:p w14:paraId="6E23C9EF" w14:textId="77777777" w:rsidR="008D57D1" w:rsidRPr="004034A6" w:rsidRDefault="008D57D1" w:rsidP="008D57D1">
            <w:pPr>
              <w:pStyle w:val="Testocommento"/>
              <w:rPr>
                <w:rFonts w:asciiTheme="minorHAnsi" w:hAnsiTheme="minorHAnsi" w:cstheme="minorHAnsi"/>
                <w:sz w:val="18"/>
                <w:szCs w:val="18"/>
              </w:rPr>
            </w:pPr>
          </w:p>
          <w:p w14:paraId="6E06D473"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Ammissibilità delle spese</w:t>
            </w:r>
          </w:p>
          <w:p w14:paraId="0BADD37C" w14:textId="05030BB3"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 xml:space="preserve">In merito all’ammissibilità delle spese si applica quanto previsto alle Sezioni </w:t>
            </w:r>
            <w:r w:rsidRPr="004034A6">
              <w:rPr>
                <w:rFonts w:asciiTheme="minorHAnsi" w:hAnsiTheme="minorHAnsi" w:cstheme="minorHAnsi"/>
                <w:b/>
                <w:bCs/>
                <w:sz w:val="18"/>
                <w:szCs w:val="18"/>
              </w:rPr>
              <w:t>4.7.1. e 4.7.3</w:t>
            </w:r>
            <w:r w:rsidRPr="004034A6">
              <w:rPr>
                <w:rFonts w:asciiTheme="minorHAnsi" w:hAnsiTheme="minorHAnsi" w:cstheme="minorHAnsi"/>
                <w:sz w:val="18"/>
                <w:szCs w:val="18"/>
              </w:rPr>
              <w:t>, paragrafo 1</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del Piano.</w:t>
            </w:r>
          </w:p>
          <w:p w14:paraId="26970122" w14:textId="77777777" w:rsidR="008D57D1" w:rsidRPr="004034A6" w:rsidRDefault="008D57D1" w:rsidP="00463DB8">
            <w:pPr>
              <w:pStyle w:val="Testocommento"/>
              <w:jc w:val="both"/>
              <w:rPr>
                <w:rFonts w:asciiTheme="minorHAnsi" w:hAnsiTheme="minorHAnsi" w:cstheme="minorHAnsi"/>
                <w:sz w:val="18"/>
                <w:szCs w:val="18"/>
              </w:rPr>
            </w:pPr>
          </w:p>
          <w:p w14:paraId="1EC9BF65" w14:textId="77777777" w:rsidR="008D57D1" w:rsidRPr="004034A6" w:rsidRDefault="008D57D1" w:rsidP="00463DB8">
            <w:pPr>
              <w:pStyle w:val="Testocommento"/>
              <w:jc w:val="both"/>
              <w:rPr>
                <w:rFonts w:asciiTheme="minorHAnsi" w:hAnsiTheme="minorHAnsi" w:cstheme="minorHAnsi"/>
                <w:sz w:val="18"/>
                <w:szCs w:val="18"/>
              </w:rPr>
            </w:pPr>
          </w:p>
          <w:p w14:paraId="3CC038DE"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 AMMISSIBILITA' DELLE SPESE AL FEASR</w:t>
            </w:r>
          </w:p>
          <w:p w14:paraId="47D7B0A1" w14:textId="54571702"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attraverso le forme di sovvenzione di cui all’articolo 83.1 del Reg. (UE) n. 2021/2115. A queste ultime si</w:t>
            </w:r>
          </w:p>
          <w:p w14:paraId="389FEA54"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4034A6">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69ED6A2F" w14:textId="77777777" w:rsidR="008D57D1" w:rsidRPr="004034A6" w:rsidRDefault="008D57D1" w:rsidP="00463DB8">
            <w:pPr>
              <w:pStyle w:val="Testocommento"/>
              <w:jc w:val="both"/>
              <w:rPr>
                <w:rFonts w:asciiTheme="minorHAnsi" w:hAnsiTheme="minorHAnsi" w:cstheme="minorHAnsi"/>
                <w:sz w:val="18"/>
                <w:szCs w:val="18"/>
              </w:rPr>
            </w:pPr>
          </w:p>
          <w:p w14:paraId="540F8CD3"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1.1)</w:t>
            </w:r>
            <w:r w:rsidRPr="004034A6">
              <w:rPr>
                <w:rFonts w:asciiTheme="minorHAnsi" w:hAnsiTheme="minorHAnsi" w:cstheme="minorHAnsi"/>
                <w:b/>
                <w:bCs/>
                <w:sz w:val="18"/>
                <w:szCs w:val="18"/>
              </w:rPr>
              <w:tab/>
              <w:t>Principi generali</w:t>
            </w:r>
          </w:p>
          <w:p w14:paraId="739A6F3D"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Le spese per essere ammissibili devono essere:</w:t>
            </w:r>
          </w:p>
          <w:p w14:paraId="06AA6948" w14:textId="77777777" w:rsidR="008D57D1" w:rsidRPr="004034A6" w:rsidRDefault="008D57D1" w:rsidP="00463DB8">
            <w:pPr>
              <w:pStyle w:val="Testocommento"/>
              <w:numPr>
                <w:ilvl w:val="0"/>
                <w:numId w:val="16"/>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529594D8" w14:textId="77777777" w:rsidR="008D57D1" w:rsidRPr="004034A6" w:rsidRDefault="008D57D1" w:rsidP="00463DB8">
            <w:pPr>
              <w:pStyle w:val="Testocommento"/>
              <w:numPr>
                <w:ilvl w:val="0"/>
                <w:numId w:val="16"/>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pertinenti rispetto all’operazione ammissibile e risultare conseguenza diretta dell’operazione stessa;</w:t>
            </w:r>
          </w:p>
          <w:p w14:paraId="4F7C0A52" w14:textId="77777777" w:rsidR="008D57D1" w:rsidRPr="004034A6" w:rsidRDefault="008D57D1" w:rsidP="00463DB8">
            <w:pPr>
              <w:pStyle w:val="Testocommento"/>
              <w:numPr>
                <w:ilvl w:val="0"/>
                <w:numId w:val="16"/>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congrue rispetto all’operazione ammissibile e comportare costi commisurati alla dimensione dell’operazione stessa;</w:t>
            </w:r>
          </w:p>
          <w:p w14:paraId="64A4BC2F" w14:textId="77777777" w:rsidR="008D57D1" w:rsidRPr="004034A6" w:rsidRDefault="008D57D1" w:rsidP="00463DB8">
            <w:pPr>
              <w:pStyle w:val="Testocommento"/>
              <w:numPr>
                <w:ilvl w:val="0"/>
                <w:numId w:val="16"/>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necessarie per attuare l’operazione oggetto della sovvenzione.</w:t>
            </w:r>
          </w:p>
          <w:p w14:paraId="1ED45375" w14:textId="77777777" w:rsidR="008D57D1" w:rsidRPr="004034A6" w:rsidRDefault="008D57D1" w:rsidP="00463DB8">
            <w:pPr>
              <w:pStyle w:val="Testocommento"/>
              <w:jc w:val="both"/>
              <w:rPr>
                <w:rFonts w:asciiTheme="minorHAnsi" w:hAnsiTheme="minorHAnsi" w:cstheme="minorHAnsi"/>
                <w:sz w:val="18"/>
                <w:szCs w:val="18"/>
              </w:rPr>
            </w:pPr>
          </w:p>
          <w:p w14:paraId="5292770F"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57EE6632" w14:textId="77777777" w:rsidR="008D57D1" w:rsidRPr="004034A6" w:rsidRDefault="008D57D1" w:rsidP="00463DB8">
            <w:pPr>
              <w:pStyle w:val="Testocommento"/>
              <w:jc w:val="both"/>
              <w:rPr>
                <w:rFonts w:asciiTheme="minorHAnsi" w:hAnsiTheme="minorHAnsi" w:cstheme="minorHAnsi"/>
                <w:sz w:val="18"/>
                <w:szCs w:val="18"/>
              </w:rPr>
            </w:pPr>
          </w:p>
          <w:p w14:paraId="6FD36DA5"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1.2) Principi in merito alla vigenza temporale dell’ammissibilità delle spese</w:t>
            </w:r>
          </w:p>
          <w:p w14:paraId="1D2238D9"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Sono ammissibili al sostegno:</w:t>
            </w:r>
          </w:p>
          <w:p w14:paraId="44EB9182" w14:textId="77777777" w:rsidR="008D57D1" w:rsidRPr="004034A6" w:rsidRDefault="008D57D1" w:rsidP="00463DB8">
            <w:pPr>
              <w:pStyle w:val="Testocommento"/>
              <w:numPr>
                <w:ilvl w:val="0"/>
                <w:numId w:val="17"/>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 xml:space="preserve">le spese sostenute dai beneficiari dopo la presentazione di una domanda di sostegno oppure dopo l’approvazione della </w:t>
            </w:r>
            <w:proofErr w:type="gramStart"/>
            <w:r w:rsidRPr="004034A6">
              <w:rPr>
                <w:rFonts w:asciiTheme="minorHAnsi" w:hAnsiTheme="minorHAnsi" w:cstheme="minorHAnsi"/>
                <w:sz w:val="18"/>
                <w:szCs w:val="18"/>
              </w:rPr>
              <w:t>predetta</w:t>
            </w:r>
            <w:proofErr w:type="gramEnd"/>
            <w:r w:rsidRPr="004034A6">
              <w:rPr>
                <w:rFonts w:asciiTheme="minorHAnsi" w:hAnsiTheme="minorHAnsi" w:cstheme="minorHAnsi"/>
                <w:sz w:val="18"/>
                <w:szCs w:val="18"/>
              </w:rPr>
              <w:t xml:space="preserve"> domanda da parte dell’Autorità di Gestione competente</w:t>
            </w:r>
          </w:p>
          <w:p w14:paraId="1C39F64E" w14:textId="77777777" w:rsidR="008D57D1" w:rsidRPr="004034A6" w:rsidRDefault="008D57D1" w:rsidP="00463DB8">
            <w:pPr>
              <w:pStyle w:val="Testocommento"/>
              <w:numPr>
                <w:ilvl w:val="0"/>
                <w:numId w:val="17"/>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76AACC26" w14:textId="77777777" w:rsidR="008D57D1" w:rsidRPr="004034A6" w:rsidRDefault="008D57D1" w:rsidP="00463DB8">
            <w:pPr>
              <w:pStyle w:val="Testocommento"/>
              <w:jc w:val="both"/>
              <w:rPr>
                <w:rFonts w:asciiTheme="minorHAnsi" w:hAnsiTheme="minorHAnsi" w:cstheme="minorHAnsi"/>
                <w:sz w:val="18"/>
                <w:szCs w:val="18"/>
              </w:rPr>
            </w:pPr>
          </w:p>
          <w:p w14:paraId="1166C864"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Il punto a) non si applica:</w:t>
            </w:r>
          </w:p>
          <w:p w14:paraId="2F225E19" w14:textId="77777777" w:rsidR="008D57D1" w:rsidRPr="004034A6" w:rsidRDefault="008D57D1" w:rsidP="00463DB8">
            <w:pPr>
              <w:pStyle w:val="Testocommento"/>
              <w:jc w:val="both"/>
              <w:rPr>
                <w:rFonts w:asciiTheme="minorHAnsi" w:hAnsiTheme="minorHAnsi" w:cstheme="minorHAnsi"/>
                <w:sz w:val="18"/>
                <w:szCs w:val="18"/>
              </w:rPr>
            </w:pPr>
          </w:p>
          <w:p w14:paraId="5480C0A5" w14:textId="77777777" w:rsidR="008D57D1" w:rsidRPr="004034A6" w:rsidRDefault="008D57D1" w:rsidP="00463DB8">
            <w:pPr>
              <w:pStyle w:val="Testocommento"/>
              <w:numPr>
                <w:ilvl w:val="0"/>
                <w:numId w:val="18"/>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6A6B526E" w14:textId="77777777" w:rsidR="008D57D1" w:rsidRPr="004034A6" w:rsidRDefault="008D57D1" w:rsidP="00463DB8">
            <w:pPr>
              <w:pStyle w:val="Testocommento"/>
              <w:numPr>
                <w:ilvl w:val="0"/>
                <w:numId w:val="18"/>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324633A8" w14:textId="77777777" w:rsidR="008D57D1" w:rsidRPr="004034A6" w:rsidRDefault="008D57D1" w:rsidP="00463DB8">
            <w:pPr>
              <w:pStyle w:val="Testocommento"/>
              <w:numPr>
                <w:ilvl w:val="0"/>
                <w:numId w:val="18"/>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alle spese di supporto preparatorio Leader: sostegno alle strategie di sviluppo locale, e spese di preparazione delle attività di cooperazione leader.</w:t>
            </w:r>
          </w:p>
          <w:p w14:paraId="4A388ADF" w14:textId="77777777" w:rsidR="008D57D1" w:rsidRPr="004034A6" w:rsidRDefault="008D57D1" w:rsidP="00463DB8">
            <w:pPr>
              <w:pStyle w:val="Testocommento"/>
              <w:jc w:val="both"/>
              <w:rPr>
                <w:rFonts w:asciiTheme="minorHAnsi" w:hAnsiTheme="minorHAnsi" w:cstheme="minorHAnsi"/>
                <w:sz w:val="18"/>
                <w:szCs w:val="18"/>
              </w:rPr>
            </w:pPr>
          </w:p>
          <w:p w14:paraId="76347ADB"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1.3) Principi in merito all’ammissibilità delle spese per operazioni di investimento (art. 73 e 74 del reg. UE 2115/2021)</w:t>
            </w:r>
          </w:p>
          <w:p w14:paraId="565A0856" w14:textId="77777777" w:rsidR="008D57D1" w:rsidRPr="004034A6" w:rsidRDefault="008D57D1" w:rsidP="00463DB8">
            <w:pPr>
              <w:pStyle w:val="Testocommento"/>
              <w:jc w:val="both"/>
              <w:rPr>
                <w:rFonts w:asciiTheme="minorHAnsi" w:hAnsiTheme="minorHAnsi" w:cstheme="minorHAnsi"/>
                <w:sz w:val="18"/>
                <w:szCs w:val="18"/>
              </w:rPr>
            </w:pPr>
          </w:p>
          <w:p w14:paraId="56FEB0EB"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Fatto salvo quanto definito nella Sezione 4.7.1 del PSP, le spese ammissibili per operazioni di investimento sono limitate alle seguenti categorie:</w:t>
            </w:r>
          </w:p>
          <w:p w14:paraId="03D613DF" w14:textId="77777777" w:rsidR="008D57D1" w:rsidRPr="004034A6" w:rsidRDefault="008D57D1" w:rsidP="00463DB8">
            <w:pPr>
              <w:pStyle w:val="Testocommento"/>
              <w:jc w:val="both"/>
              <w:rPr>
                <w:rFonts w:asciiTheme="minorHAnsi" w:hAnsiTheme="minorHAnsi" w:cstheme="minorHAnsi"/>
                <w:sz w:val="18"/>
                <w:szCs w:val="18"/>
              </w:rPr>
            </w:pPr>
          </w:p>
          <w:p w14:paraId="46C50616" w14:textId="77777777" w:rsidR="008D57D1" w:rsidRPr="004034A6" w:rsidRDefault="008D57D1" w:rsidP="00463DB8">
            <w:pPr>
              <w:pStyle w:val="Testocommento"/>
              <w:numPr>
                <w:ilvl w:val="0"/>
                <w:numId w:val="19"/>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0F875D0D" w14:textId="77777777" w:rsidR="008D57D1" w:rsidRPr="004034A6" w:rsidRDefault="008D57D1" w:rsidP="00463DB8">
            <w:pPr>
              <w:pStyle w:val="Testocommento"/>
              <w:numPr>
                <w:ilvl w:val="0"/>
                <w:numId w:val="19"/>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Acquisto o leasing di nuovi macchinari, impianti, attrezzature ed allestimenti, inclusa la messa in opera;</w:t>
            </w:r>
          </w:p>
          <w:p w14:paraId="57097425" w14:textId="77777777" w:rsidR="008D57D1" w:rsidRPr="004034A6" w:rsidRDefault="008D57D1" w:rsidP="00463DB8">
            <w:pPr>
              <w:pStyle w:val="Testocommento"/>
              <w:numPr>
                <w:ilvl w:val="0"/>
                <w:numId w:val="19"/>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Spese generali collegate alle spese di cui ai punti a) e b);</w:t>
            </w:r>
          </w:p>
          <w:p w14:paraId="20B980AA" w14:textId="77777777" w:rsidR="008D57D1" w:rsidRPr="004034A6" w:rsidRDefault="008D57D1" w:rsidP="00463DB8">
            <w:pPr>
              <w:pStyle w:val="Testocommento"/>
              <w:numPr>
                <w:ilvl w:val="0"/>
                <w:numId w:val="19"/>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0789CFB4" w14:textId="77777777" w:rsidR="008D57D1" w:rsidRPr="004034A6" w:rsidRDefault="008D57D1" w:rsidP="00463DB8">
            <w:pPr>
              <w:pStyle w:val="Testocommento"/>
              <w:jc w:val="both"/>
              <w:rPr>
                <w:rFonts w:asciiTheme="minorHAnsi" w:hAnsiTheme="minorHAnsi" w:cstheme="minorHAnsi"/>
                <w:sz w:val="18"/>
                <w:szCs w:val="18"/>
              </w:rPr>
            </w:pPr>
          </w:p>
          <w:p w14:paraId="4CF1ECFA"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Con riferimento agli investimenti. le spese di ammortamento si possono considerare spese ammissibili alle seguenti condizioni:</w:t>
            </w:r>
          </w:p>
          <w:p w14:paraId="781D22AF" w14:textId="77777777" w:rsidR="008D57D1" w:rsidRPr="004034A6" w:rsidRDefault="008D57D1" w:rsidP="00463DB8">
            <w:pPr>
              <w:pStyle w:val="Testocommento"/>
              <w:numPr>
                <w:ilvl w:val="0"/>
                <w:numId w:val="20"/>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l'importo della spesa sia debitamente giustificato da documenti con un valore probatorio equivalente alle fatture;</w:t>
            </w:r>
          </w:p>
          <w:p w14:paraId="10C89B0C" w14:textId="77777777" w:rsidR="008D57D1" w:rsidRPr="004034A6" w:rsidRDefault="008D57D1" w:rsidP="00463DB8">
            <w:pPr>
              <w:pStyle w:val="Testocommento"/>
              <w:numPr>
                <w:ilvl w:val="0"/>
                <w:numId w:val="20"/>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i costi si riferiscono esclusivamente al periodo di sostegno all'operazione;</w:t>
            </w:r>
          </w:p>
          <w:p w14:paraId="7AF0DE6B" w14:textId="77777777" w:rsidR="008D57D1" w:rsidRPr="004034A6" w:rsidRDefault="008D57D1" w:rsidP="00463DB8">
            <w:pPr>
              <w:pStyle w:val="Testocommento"/>
              <w:numPr>
                <w:ilvl w:val="0"/>
                <w:numId w:val="20"/>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all'acquisto dei beni ammortizzati non hanno contribuito sovvenzioni pubbliche.</w:t>
            </w:r>
          </w:p>
          <w:p w14:paraId="05919E85" w14:textId="77777777" w:rsidR="008D57D1" w:rsidRPr="004034A6" w:rsidRDefault="008D57D1" w:rsidP="00463DB8">
            <w:pPr>
              <w:pStyle w:val="Testocommento"/>
              <w:jc w:val="both"/>
              <w:rPr>
                <w:rFonts w:asciiTheme="minorHAnsi" w:hAnsiTheme="minorHAnsi" w:cstheme="minorHAnsi"/>
                <w:sz w:val="18"/>
                <w:szCs w:val="18"/>
              </w:rPr>
            </w:pPr>
          </w:p>
          <w:p w14:paraId="3E7AFA4E"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p>
          <w:p w14:paraId="0EE15FB3"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in cui il sostegno sia erogato sotto forma di importo globale ai sensi dell’art. 77.4, secondo capoverso, del Reg. (UE) 2021/2115.</w:t>
            </w:r>
          </w:p>
          <w:p w14:paraId="772115F0" w14:textId="77777777" w:rsidR="008D57D1" w:rsidRPr="004034A6" w:rsidRDefault="008D57D1" w:rsidP="00463DB8">
            <w:pPr>
              <w:pStyle w:val="Testocommento"/>
              <w:jc w:val="both"/>
              <w:rPr>
                <w:rFonts w:asciiTheme="minorHAnsi" w:hAnsiTheme="minorHAnsi" w:cstheme="minorHAnsi"/>
                <w:sz w:val="18"/>
                <w:szCs w:val="18"/>
              </w:rPr>
            </w:pPr>
          </w:p>
          <w:p w14:paraId="4B539611"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1.4) Principi in merito all’ammissibilità delle spese di gestione</w:t>
            </w:r>
          </w:p>
          <w:p w14:paraId="60B0EA02"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Per gli interventi che prevedono il sostegno a spese di gestione (art. 77 e 78 e, parzialmente, art. 70 del</w:t>
            </w:r>
          </w:p>
          <w:p w14:paraId="7E0E34C7"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reg. UE 2115/2021), le stesse sono ammissibili limitatamente alle seguenti categorie:</w:t>
            </w:r>
          </w:p>
          <w:p w14:paraId="020B9F46" w14:textId="77777777" w:rsidR="008D57D1" w:rsidRPr="004034A6" w:rsidRDefault="008D57D1" w:rsidP="00463DB8">
            <w:pPr>
              <w:pStyle w:val="Testocommento"/>
              <w:jc w:val="both"/>
              <w:rPr>
                <w:rFonts w:asciiTheme="minorHAnsi" w:hAnsiTheme="minorHAnsi" w:cstheme="minorHAnsi"/>
                <w:sz w:val="18"/>
                <w:szCs w:val="18"/>
              </w:rPr>
            </w:pPr>
          </w:p>
          <w:p w14:paraId="12E9DFFA"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1. spese di funzionamento;</w:t>
            </w:r>
          </w:p>
          <w:p w14:paraId="31423F5B"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2. spese di personale;</w:t>
            </w:r>
          </w:p>
          <w:p w14:paraId="5585661E"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3. spese di formazione e consulenza;</w:t>
            </w:r>
          </w:p>
          <w:p w14:paraId="79AB617D"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4. spese di pubbliche relazioni;</w:t>
            </w:r>
          </w:p>
          <w:p w14:paraId="3EC7FB63"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5. spese finanziarie;</w:t>
            </w:r>
          </w:p>
          <w:p w14:paraId="1903CBED"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6. spese di rete;</w:t>
            </w:r>
          </w:p>
          <w:p w14:paraId="41B2F719"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7. spese di ammortamento, sulla base d quanto specificato nella sezione 1.3.</w:t>
            </w:r>
          </w:p>
          <w:p w14:paraId="09BE562C" w14:textId="77777777" w:rsidR="008D57D1" w:rsidRPr="004034A6" w:rsidRDefault="008D57D1" w:rsidP="00463DB8">
            <w:pPr>
              <w:pStyle w:val="Testocommento"/>
              <w:jc w:val="both"/>
              <w:rPr>
                <w:rFonts w:asciiTheme="minorHAnsi" w:hAnsiTheme="minorHAnsi" w:cstheme="minorHAnsi"/>
                <w:sz w:val="18"/>
                <w:szCs w:val="18"/>
              </w:rPr>
            </w:pPr>
          </w:p>
          <w:p w14:paraId="65FC9286"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1.5) Ammissibilità di Studi e Piani</w:t>
            </w:r>
          </w:p>
          <w:p w14:paraId="1A94CDAF" w14:textId="28EB29A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Gli studi e i piani di sviluppo e/o di gestione (es. piani di sviluppo di comuni e villaggi, piani di protezione</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e gestione relativi a siti Natura 2000 e ad alto valore naturalistico, Piani di gestione forestali) sono</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ammissibili solo se correlati a uno specifico intervento del Piano strategico o agli obiettivi specifici dello</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stesso.</w:t>
            </w:r>
          </w:p>
          <w:p w14:paraId="59A37EED"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Gli stessi, inoltre, possono ricevere un sostegno finanziario in una delle seguenti forme:</w:t>
            </w:r>
          </w:p>
          <w:p w14:paraId="70493E75" w14:textId="77777777" w:rsidR="008D57D1" w:rsidRPr="004034A6" w:rsidRDefault="008D57D1" w:rsidP="00463DB8">
            <w:pPr>
              <w:pStyle w:val="Testocommento"/>
              <w:jc w:val="both"/>
              <w:rPr>
                <w:rFonts w:asciiTheme="minorHAnsi" w:hAnsiTheme="minorHAnsi" w:cstheme="minorHAnsi"/>
                <w:sz w:val="18"/>
                <w:szCs w:val="18"/>
              </w:rPr>
            </w:pPr>
          </w:p>
          <w:p w14:paraId="44EE1214"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7C38619A"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1A055712" w14:textId="77777777" w:rsidR="008D57D1" w:rsidRPr="004034A6" w:rsidRDefault="008D57D1" w:rsidP="00463DB8">
            <w:pPr>
              <w:pStyle w:val="Testocommento"/>
              <w:jc w:val="both"/>
              <w:rPr>
                <w:rFonts w:asciiTheme="minorHAnsi" w:hAnsiTheme="minorHAnsi" w:cstheme="minorHAnsi"/>
                <w:sz w:val="18"/>
                <w:szCs w:val="18"/>
              </w:rPr>
            </w:pPr>
          </w:p>
          <w:p w14:paraId="59EA0669"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1.6) Contributi in natura</w:t>
            </w:r>
          </w:p>
          <w:p w14:paraId="0204BED1"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0B191525" w14:textId="77777777" w:rsidR="008D57D1" w:rsidRPr="004034A6" w:rsidRDefault="008D57D1" w:rsidP="00463DB8">
            <w:pPr>
              <w:pStyle w:val="Testocommento"/>
              <w:jc w:val="both"/>
              <w:rPr>
                <w:rFonts w:asciiTheme="minorHAnsi" w:hAnsiTheme="minorHAnsi" w:cstheme="minorHAnsi"/>
                <w:sz w:val="18"/>
                <w:szCs w:val="18"/>
              </w:rPr>
            </w:pPr>
          </w:p>
          <w:p w14:paraId="5C4CEF47"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In tal caso, comunque, si applicano le seguenti condizioni:</w:t>
            </w:r>
          </w:p>
          <w:p w14:paraId="0E846887" w14:textId="77777777" w:rsidR="008D57D1" w:rsidRPr="004034A6" w:rsidRDefault="008D57D1" w:rsidP="00463DB8">
            <w:pPr>
              <w:pStyle w:val="Testocommento"/>
              <w:jc w:val="both"/>
              <w:rPr>
                <w:rFonts w:asciiTheme="minorHAnsi" w:hAnsiTheme="minorHAnsi" w:cstheme="minorHAnsi"/>
                <w:sz w:val="18"/>
                <w:szCs w:val="18"/>
              </w:rPr>
            </w:pPr>
          </w:p>
          <w:p w14:paraId="08AAC343" w14:textId="77777777" w:rsidR="008D57D1" w:rsidRPr="004034A6" w:rsidRDefault="008D57D1" w:rsidP="00463DB8">
            <w:pPr>
              <w:pStyle w:val="Testocommento"/>
              <w:numPr>
                <w:ilvl w:val="0"/>
                <w:numId w:val="21"/>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1A118801" w14:textId="77777777" w:rsidR="008D57D1" w:rsidRPr="004034A6" w:rsidRDefault="008D57D1" w:rsidP="00463DB8">
            <w:pPr>
              <w:pStyle w:val="Testocommento"/>
              <w:numPr>
                <w:ilvl w:val="0"/>
                <w:numId w:val="21"/>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il valore e la fornitura dei contributi possono essere valutati e verificati in modo indipendente;</w:t>
            </w:r>
          </w:p>
          <w:p w14:paraId="2D9B5DB7" w14:textId="77777777" w:rsidR="008D57D1" w:rsidRPr="004034A6" w:rsidRDefault="008D57D1" w:rsidP="00463DB8">
            <w:pPr>
              <w:pStyle w:val="Testocommento"/>
              <w:numPr>
                <w:ilvl w:val="0"/>
                <w:numId w:val="21"/>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3C66F6AB" w14:textId="77777777" w:rsidR="008D57D1" w:rsidRPr="004034A6" w:rsidRDefault="008D57D1" w:rsidP="00463DB8">
            <w:pPr>
              <w:pStyle w:val="Testocommento"/>
              <w:numPr>
                <w:ilvl w:val="0"/>
                <w:numId w:val="21"/>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4034A6">
              <w:rPr>
                <w:rFonts w:asciiTheme="minorHAnsi" w:hAnsiTheme="minorHAnsi" w:cstheme="minorHAnsi"/>
                <w:sz w:val="18"/>
                <w:szCs w:val="18"/>
              </w:rPr>
              <w:t>AdG</w:t>
            </w:r>
            <w:proofErr w:type="spellEnd"/>
            <w:r w:rsidRPr="004034A6">
              <w:rPr>
                <w:rFonts w:asciiTheme="minorHAnsi" w:hAnsiTheme="minorHAnsi" w:cstheme="minorHAnsi"/>
                <w:sz w:val="18"/>
                <w:szCs w:val="18"/>
              </w:rPr>
              <w:t xml:space="preserve"> regionali nei documenti attuativi del presente Piano.</w:t>
            </w:r>
          </w:p>
          <w:p w14:paraId="5511D902" w14:textId="77777777" w:rsidR="008D57D1" w:rsidRPr="004034A6" w:rsidRDefault="008D57D1" w:rsidP="00463DB8">
            <w:pPr>
              <w:pStyle w:val="Testocommento"/>
              <w:numPr>
                <w:ilvl w:val="0"/>
                <w:numId w:val="21"/>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28BF083B" w14:textId="77777777" w:rsidR="008D57D1" w:rsidRPr="004034A6" w:rsidRDefault="008D57D1" w:rsidP="00463DB8">
            <w:pPr>
              <w:pStyle w:val="Testocommento"/>
              <w:jc w:val="both"/>
              <w:rPr>
                <w:rFonts w:asciiTheme="minorHAnsi" w:hAnsiTheme="minorHAnsi" w:cstheme="minorHAnsi"/>
                <w:sz w:val="18"/>
                <w:szCs w:val="18"/>
              </w:rPr>
            </w:pPr>
          </w:p>
          <w:p w14:paraId="43AB857E"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262D063F" w14:textId="77777777" w:rsidR="008D57D1" w:rsidRPr="004034A6" w:rsidRDefault="008D57D1" w:rsidP="00463DB8">
            <w:pPr>
              <w:pStyle w:val="Testocommento"/>
              <w:jc w:val="both"/>
              <w:rPr>
                <w:rFonts w:asciiTheme="minorHAnsi" w:hAnsiTheme="minorHAnsi" w:cstheme="minorHAnsi"/>
                <w:sz w:val="18"/>
                <w:szCs w:val="18"/>
              </w:rPr>
            </w:pPr>
          </w:p>
          <w:p w14:paraId="28555FB4"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1.7) Imposta sul valore aggiunto (IVA) e altre imposte e tasse</w:t>
            </w:r>
          </w:p>
          <w:p w14:paraId="6E45346F"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Non è ammissibile a contributo l’imposta sul valore aggiunto (IVA).</w:t>
            </w:r>
          </w:p>
          <w:p w14:paraId="6FF9816E"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È prevista una deroga nel caso in cui il sostegno sia erogato tramite strumenti finanziari.</w:t>
            </w:r>
          </w:p>
          <w:p w14:paraId="3A6F5036" w14:textId="4D8539AA"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L’imposta di registro, se afferente a un’operazione finanziata, costituisce spesa ammissibile. Ogni altro</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tributo e onere fiscale, previdenziale e assicurativo funzionale alle operazioni oggetto di finanziamento,</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costituisce spesa ammissibile nei limiti in cui non sia recuperabile dal beneficiario, ovvero nel caso in cui rappresenti un costo per quest’ultimo.</w:t>
            </w:r>
          </w:p>
          <w:p w14:paraId="5B64F8EA" w14:textId="77777777" w:rsidR="008D57D1" w:rsidRPr="004034A6" w:rsidRDefault="008D57D1" w:rsidP="00463DB8">
            <w:pPr>
              <w:pStyle w:val="Testocommento"/>
              <w:jc w:val="both"/>
              <w:rPr>
                <w:rFonts w:asciiTheme="minorHAnsi" w:hAnsiTheme="minorHAnsi" w:cstheme="minorHAnsi"/>
                <w:sz w:val="18"/>
                <w:szCs w:val="18"/>
              </w:rPr>
            </w:pPr>
          </w:p>
          <w:p w14:paraId="4BAE05EB"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L’IRAP è considerata spesa ammissibile in tutti i casi di seguito indicati:</w:t>
            </w:r>
          </w:p>
          <w:p w14:paraId="6E25EB33" w14:textId="77777777" w:rsidR="008D57D1" w:rsidRPr="004034A6" w:rsidRDefault="008D57D1" w:rsidP="00463DB8">
            <w:pPr>
              <w:pStyle w:val="Testocommento"/>
              <w:numPr>
                <w:ilvl w:val="0"/>
                <w:numId w:val="22"/>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 xml:space="preserve">quando riguarda Enti Non Commerciali (ENC) di cui all’art. 3, comma 1, lettera e) del </w:t>
            </w:r>
            <w:proofErr w:type="spellStart"/>
            <w:r w:rsidRPr="004034A6">
              <w:rPr>
                <w:rFonts w:asciiTheme="minorHAnsi" w:hAnsiTheme="minorHAnsi" w:cstheme="minorHAnsi"/>
                <w:sz w:val="18"/>
                <w:szCs w:val="18"/>
              </w:rPr>
              <w:t>D.Lgs.</w:t>
            </w:r>
            <w:proofErr w:type="spellEnd"/>
            <w:r w:rsidRPr="004034A6">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3FBCF3C5" w14:textId="77777777" w:rsidR="008D57D1" w:rsidRPr="004034A6" w:rsidRDefault="008D57D1" w:rsidP="00463DB8">
            <w:pPr>
              <w:pStyle w:val="Testocommento"/>
              <w:numPr>
                <w:ilvl w:val="0"/>
                <w:numId w:val="22"/>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4034A6">
              <w:rPr>
                <w:rFonts w:asciiTheme="minorHAnsi" w:hAnsiTheme="minorHAnsi" w:cstheme="minorHAnsi"/>
                <w:sz w:val="18"/>
                <w:szCs w:val="18"/>
              </w:rPr>
              <w:t>D.Lgs.</w:t>
            </w:r>
            <w:proofErr w:type="spellEnd"/>
            <w:r w:rsidRPr="004034A6">
              <w:rPr>
                <w:rFonts w:asciiTheme="minorHAnsi" w:hAnsiTheme="minorHAnsi" w:cstheme="minorHAnsi"/>
                <w:sz w:val="18"/>
                <w:szCs w:val="18"/>
              </w:rPr>
              <w:t xml:space="preserve"> 446/97, come definite dall’art. 1 comma 2 del </w:t>
            </w:r>
            <w:proofErr w:type="spellStart"/>
            <w:r w:rsidRPr="004034A6">
              <w:rPr>
                <w:rFonts w:asciiTheme="minorHAnsi" w:hAnsiTheme="minorHAnsi" w:cstheme="minorHAnsi"/>
                <w:sz w:val="18"/>
                <w:szCs w:val="18"/>
              </w:rPr>
              <w:t>D.lgs</w:t>
            </w:r>
            <w:proofErr w:type="spellEnd"/>
            <w:r w:rsidRPr="004034A6">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4034A6">
              <w:rPr>
                <w:rFonts w:asciiTheme="minorHAnsi" w:hAnsiTheme="minorHAnsi" w:cstheme="minorHAnsi"/>
                <w:sz w:val="18"/>
                <w:szCs w:val="18"/>
              </w:rPr>
              <w:t>D.Lgs.</w:t>
            </w:r>
            <w:proofErr w:type="spellEnd"/>
            <w:r w:rsidRPr="004034A6">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4EE0AA4D" w14:textId="77777777" w:rsidR="008D57D1" w:rsidRPr="004034A6" w:rsidRDefault="008D57D1" w:rsidP="00463DB8">
            <w:pPr>
              <w:pStyle w:val="Testocommento"/>
              <w:numPr>
                <w:ilvl w:val="0"/>
                <w:numId w:val="22"/>
              </w:numPr>
              <w:suppressAutoHyphens w:val="0"/>
              <w:jc w:val="both"/>
              <w:rPr>
                <w:rFonts w:asciiTheme="minorHAnsi" w:hAnsiTheme="minorHAnsi" w:cstheme="minorHAnsi"/>
                <w:sz w:val="18"/>
                <w:szCs w:val="18"/>
              </w:rPr>
            </w:pPr>
            <w:r w:rsidRPr="004034A6">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1BF22EBB" w14:textId="77777777" w:rsidR="008D57D1" w:rsidRPr="004034A6" w:rsidRDefault="008D57D1" w:rsidP="00463DB8">
            <w:pPr>
              <w:pStyle w:val="Testocommento"/>
              <w:jc w:val="both"/>
              <w:rPr>
                <w:rFonts w:asciiTheme="minorHAnsi" w:hAnsiTheme="minorHAnsi" w:cstheme="minorHAnsi"/>
                <w:sz w:val="18"/>
                <w:szCs w:val="18"/>
              </w:rPr>
            </w:pPr>
          </w:p>
          <w:p w14:paraId="025BC0CC" w14:textId="67C8CA7C"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b/>
                <w:bCs/>
                <w:sz w:val="18"/>
                <w:szCs w:val="18"/>
              </w:rPr>
              <w:t>Spese non ammissibili nell’ambito degli interventi di investimento (art. 73 e 74 del reg. UE</w:t>
            </w:r>
            <w:r w:rsidR="004034A6" w:rsidRPr="004034A6">
              <w:rPr>
                <w:rFonts w:asciiTheme="minorHAnsi" w:hAnsiTheme="minorHAnsi" w:cstheme="minorHAnsi"/>
                <w:b/>
                <w:bCs/>
                <w:sz w:val="18"/>
                <w:szCs w:val="18"/>
              </w:rPr>
              <w:t xml:space="preserve"> </w:t>
            </w:r>
            <w:r w:rsidRPr="004034A6">
              <w:rPr>
                <w:rFonts w:asciiTheme="minorHAnsi" w:hAnsiTheme="minorHAnsi" w:cstheme="minorHAnsi"/>
                <w:b/>
                <w:bCs/>
                <w:sz w:val="18"/>
                <w:szCs w:val="18"/>
              </w:rPr>
              <w:t>2021/2115)</w:t>
            </w:r>
          </w:p>
          <w:p w14:paraId="14FFFA6C" w14:textId="77777777" w:rsidR="008D57D1" w:rsidRPr="004034A6" w:rsidRDefault="008D57D1" w:rsidP="00463DB8">
            <w:pPr>
              <w:pStyle w:val="Testocommento"/>
              <w:jc w:val="both"/>
              <w:rPr>
                <w:rFonts w:asciiTheme="minorHAnsi" w:hAnsiTheme="minorHAnsi" w:cstheme="minorHAnsi"/>
                <w:sz w:val="18"/>
                <w:szCs w:val="18"/>
              </w:rPr>
            </w:pPr>
          </w:p>
          <w:p w14:paraId="40E722F1" w14:textId="13961986"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Con riferimento agli investimenti cofinanziati dal FEASR, non sono ammissibili le seguenti categorie di</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spesa:</w:t>
            </w:r>
          </w:p>
          <w:p w14:paraId="7E34519C" w14:textId="77777777" w:rsidR="008D57D1" w:rsidRPr="004034A6" w:rsidRDefault="008D57D1" w:rsidP="00463DB8">
            <w:pPr>
              <w:pStyle w:val="Testocommento"/>
              <w:jc w:val="both"/>
              <w:rPr>
                <w:rFonts w:asciiTheme="minorHAnsi" w:hAnsiTheme="minorHAnsi" w:cstheme="minorHAnsi"/>
                <w:sz w:val="18"/>
                <w:szCs w:val="18"/>
              </w:rPr>
            </w:pPr>
          </w:p>
          <w:p w14:paraId="382BDA9D"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a) acquisto di diritti di produzione agricola;</w:t>
            </w:r>
          </w:p>
          <w:p w14:paraId="056E8624"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b) acquisto di diritti all’aiuto;</w:t>
            </w:r>
          </w:p>
          <w:p w14:paraId="7672ED55" w14:textId="2B8FBDFD"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c) acquisto di terreni per un importo superiore al 10% delle spese totali ammissibili dell’operazione interessata, ad eccezione dell’acquisto di terreni a fini di conservazione dell’ambiente e preservazione di suoli ricchi di carbonio o dei terreni acquistati da giovani agricoltori tramite l’utilizzo di strumenti finanziari; nel caso degli strumenti finanziari, tale massimale si applica alla spesa pubblica ammissibile</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versata al destinatario finale o, nel caso delle garanzie, all’importo del prestito sottostante;</w:t>
            </w:r>
          </w:p>
          <w:p w14:paraId="3207D795"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d) acquisto di animali e acquisto di piante annuali con le relative spese di impianto per uno scopo diverso da:1) ripristinare il potenziale agricolo o forestale a seguito di calamità naturali, avversità atmosferiche o eventi catastrofici; 2) proteggere il bestiame dai grandi predatori o utilizzare il bestiame nella silvicoltura al posto dei macchinari; 3) allevare razze a rischio di estinzione definite all’articolo 2, punto 24, del regolamento (UE) 2016/1012 del Parlamento europeo e del Consiglio) nell’ambito degli impegni di cui all’articolo 70 del Regolamento (UE) n. 2021/2115; 4) preservare le varietà vegetali minacciate di erosione genetica nell’ambito degli impegni di cui all’articolo 70 del Regolamento (UE) n. 2021/2115;</w:t>
            </w:r>
          </w:p>
          <w:p w14:paraId="71E632C9"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e) interessi passivi, a eccezione di quelli relativi a sovvenzioni concesse sotto forma di abbuono d’interessi;</w:t>
            </w:r>
          </w:p>
          <w:p w14:paraId="0F20801C" w14:textId="5ABA4444"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f) investimenti in infrastrutture su larga scala che non rientrano nelle strategie di sviluppo locale di tipo</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partecipativo di cui all’articolo 32 del regolamento (UE) 2021/1060, ad eccezione degli investimenti [nella banda larga e di interventi] di protezione dalle inondazioni e protezione del litorale volti a ridurre le conseguenze di probabili calamità naturali, avversità atmosferiche o eventi catastrofici.</w:t>
            </w:r>
          </w:p>
          <w:p w14:paraId="524577B9" w14:textId="59E2D281"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g) investimenti di imboschimento non coerenti con obiettivi in materia di ambiente e di clima in linea con i principi della gestione sostenibile delle foreste quali elaborati negli orientamenti paneuropei per</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l’imboschimento e il rimboschimento;</w:t>
            </w:r>
          </w:p>
          <w:p w14:paraId="4E0EE6C6"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h) spese di manutenzione ordinaria, di esercizio e funzionamento;</w:t>
            </w:r>
          </w:p>
          <w:p w14:paraId="2CB8095B"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i) spese per investimenti finalizzati al mero adeguamento alla normativa vigente, fatte salve le specificità previste nell’ambito delle singole schede di intervento di cui alla Sezione 5.3 del presente Piano;</w:t>
            </w:r>
          </w:p>
          <w:p w14:paraId="2B4BB037"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l) spese connesse all’assistenza post-vendita dei beni di investimento;</w:t>
            </w:r>
          </w:p>
          <w:p w14:paraId="11B404C0" w14:textId="77777777" w:rsidR="008D57D1" w:rsidRPr="004034A6" w:rsidRDefault="008D57D1" w:rsidP="00463DB8">
            <w:pPr>
              <w:pStyle w:val="Testocommento"/>
              <w:jc w:val="both"/>
              <w:rPr>
                <w:rFonts w:asciiTheme="minorHAnsi" w:hAnsiTheme="minorHAnsi" w:cstheme="minorHAnsi"/>
                <w:sz w:val="18"/>
                <w:szCs w:val="18"/>
              </w:rPr>
            </w:pPr>
          </w:p>
          <w:p w14:paraId="4226FA43" w14:textId="77777777"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Le lettere a), b), d), f) non si applicano quando il sostegno è erogato sotto forma di strumenti finanziari.</w:t>
            </w:r>
          </w:p>
          <w:p w14:paraId="17AA9A64" w14:textId="27AC54D2" w:rsidR="008D57D1" w:rsidRPr="004034A6" w:rsidRDefault="008D57D1" w:rsidP="00463DB8">
            <w:pPr>
              <w:pStyle w:val="Testocommento"/>
              <w:jc w:val="both"/>
              <w:rPr>
                <w:rFonts w:asciiTheme="minorHAnsi" w:hAnsiTheme="minorHAnsi" w:cstheme="minorHAnsi"/>
                <w:sz w:val="18"/>
                <w:szCs w:val="18"/>
              </w:rPr>
            </w:pPr>
            <w:r w:rsidRPr="004034A6">
              <w:rPr>
                <w:rFonts w:asciiTheme="minorHAnsi" w:hAnsiTheme="minorHAnsi" w:cstheme="minorHAnsi"/>
                <w:sz w:val="18"/>
                <w:szCs w:val="18"/>
              </w:rPr>
              <w:t>Ulteriori limitazioni connesse agli investimenti, incluse eventuali limitazioni determinate a livello regionale relative ai punti precedenti, sono indicate nelle singole schede di intervento di cui alla Sezione</w:t>
            </w:r>
            <w:r w:rsidR="004034A6" w:rsidRPr="004034A6">
              <w:rPr>
                <w:rFonts w:asciiTheme="minorHAnsi" w:hAnsiTheme="minorHAnsi" w:cstheme="minorHAnsi"/>
                <w:sz w:val="18"/>
                <w:szCs w:val="18"/>
              </w:rPr>
              <w:t xml:space="preserve"> </w:t>
            </w:r>
            <w:r w:rsidRPr="004034A6">
              <w:rPr>
                <w:rFonts w:asciiTheme="minorHAnsi" w:hAnsiTheme="minorHAnsi" w:cstheme="minorHAnsi"/>
                <w:sz w:val="18"/>
                <w:szCs w:val="18"/>
              </w:rPr>
              <w:t xml:space="preserve">5.3 del </w:t>
            </w:r>
            <w:r w:rsidR="004034A6" w:rsidRPr="004034A6">
              <w:rPr>
                <w:rFonts w:asciiTheme="minorHAnsi" w:hAnsiTheme="minorHAnsi" w:cstheme="minorHAnsi"/>
                <w:sz w:val="18"/>
                <w:szCs w:val="18"/>
              </w:rPr>
              <w:t>PSP</w:t>
            </w:r>
            <w:r w:rsidRPr="004034A6">
              <w:rPr>
                <w:rFonts w:asciiTheme="minorHAnsi" w:hAnsiTheme="minorHAnsi" w:cstheme="minorHAnsi"/>
                <w:sz w:val="18"/>
                <w:szCs w:val="18"/>
              </w:rPr>
              <w:t>.</w:t>
            </w:r>
          </w:p>
          <w:p w14:paraId="0ECC2B7A" w14:textId="77777777" w:rsidR="001B4A99" w:rsidRPr="004034A6" w:rsidRDefault="001B4A99" w:rsidP="008D57D1">
            <w:pPr>
              <w:pStyle w:val="Testocommento"/>
              <w:rPr>
                <w:rFonts w:asciiTheme="minorHAnsi" w:hAnsiTheme="minorHAnsi" w:cstheme="minorHAnsi"/>
                <w:b/>
                <w:bCs/>
                <w:sz w:val="18"/>
                <w:szCs w:val="18"/>
              </w:rPr>
            </w:pPr>
          </w:p>
          <w:p w14:paraId="7BE3EAFD" w14:textId="77777777" w:rsidR="001B4A99" w:rsidRPr="004034A6" w:rsidRDefault="001B4A99" w:rsidP="008D57D1">
            <w:pPr>
              <w:pStyle w:val="Testocommento"/>
              <w:rPr>
                <w:rFonts w:asciiTheme="minorHAnsi" w:hAnsiTheme="minorHAnsi" w:cstheme="minorHAnsi"/>
                <w:b/>
                <w:bCs/>
                <w:sz w:val="18"/>
                <w:szCs w:val="18"/>
              </w:rPr>
            </w:pPr>
          </w:p>
          <w:p w14:paraId="505E2D0E" w14:textId="3F43C227" w:rsidR="008E4A0C" w:rsidRPr="004034A6" w:rsidRDefault="008E4A0C" w:rsidP="001B4A99">
            <w:pPr>
              <w:pStyle w:val="Testocommento"/>
              <w:rPr>
                <w:rFonts w:cs="Cordia New"/>
                <w:color w:val="000000"/>
                <w:sz w:val="18"/>
                <w:szCs w:val="18"/>
              </w:rPr>
            </w:pPr>
          </w:p>
        </w:tc>
      </w:tr>
    </w:tbl>
    <w:p w14:paraId="247D7A79" w14:textId="77777777" w:rsidR="00061C1C" w:rsidRPr="004034A6"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C26FE0" w:rsidRPr="004034A6" w14:paraId="38DBD20F"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64488C9" w14:textId="77777777" w:rsidR="00C26FE0" w:rsidRPr="004034A6" w:rsidRDefault="00C26FE0" w:rsidP="00C26FE0">
            <w:pPr>
              <w:rPr>
                <w:rFonts w:cs="Cordia New"/>
                <w:b/>
                <w:caps/>
                <w:color w:val="000000"/>
                <w:sz w:val="18"/>
                <w:szCs w:val="18"/>
              </w:rPr>
            </w:pPr>
            <w:r w:rsidRPr="004034A6">
              <w:rPr>
                <w:rFonts w:cs="Cordia New"/>
                <w:b/>
                <w:caps/>
                <w:color w:val="000000"/>
                <w:sz w:val="18"/>
                <w:szCs w:val="18"/>
              </w:rPr>
              <w:t>CUMULABILITA’ DEGLI AIUTI E DOPPIO FINANZIAMENTO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B85EC5" w14:textId="77777777" w:rsidR="00C26FE0" w:rsidRPr="004034A6" w:rsidRDefault="00C26FE0" w:rsidP="00C26FE0">
            <w:pPr>
              <w:jc w:val="both"/>
              <w:rPr>
                <w:rFonts w:cs="Cordia New"/>
                <w:color w:val="000000"/>
                <w:sz w:val="18"/>
                <w:szCs w:val="18"/>
              </w:rPr>
            </w:pPr>
            <w:r w:rsidRPr="004034A6">
              <w:rPr>
                <w:rFonts w:cs="Cordia New"/>
                <w:color w:val="000000"/>
                <w:sz w:val="18"/>
                <w:szCs w:val="18"/>
              </w:rPr>
              <w:t>Si rimanda alla Sezione 4.7.3, paragrafo 2, del PSP.</w:t>
            </w:r>
          </w:p>
          <w:p w14:paraId="04188B8E" w14:textId="77777777" w:rsidR="00C26FE0" w:rsidRPr="004034A6" w:rsidRDefault="00C26FE0" w:rsidP="00C26FE0">
            <w:pPr>
              <w:spacing w:after="0"/>
              <w:jc w:val="both"/>
              <w:rPr>
                <w:rFonts w:cs="Cordia New"/>
                <w:color w:val="000000"/>
                <w:sz w:val="18"/>
                <w:szCs w:val="18"/>
              </w:rPr>
            </w:pPr>
          </w:p>
          <w:p w14:paraId="3CAE6DD9" w14:textId="77777777" w:rsidR="00C26FE0" w:rsidRPr="004034A6" w:rsidRDefault="00C26FE0" w:rsidP="00C26FE0">
            <w:pPr>
              <w:pStyle w:val="Testocommento"/>
              <w:rPr>
                <w:sz w:val="18"/>
                <w:szCs w:val="18"/>
              </w:rPr>
            </w:pPr>
            <w:r w:rsidRPr="004034A6">
              <w:rPr>
                <w:sz w:val="18"/>
                <w:szCs w:val="18"/>
              </w:rPr>
              <w:t>2.1) Strumenti finanziari dell’Unione europea</w:t>
            </w:r>
          </w:p>
          <w:p w14:paraId="0AB8FE91" w14:textId="77777777" w:rsidR="00C26FE0" w:rsidRPr="004034A6" w:rsidRDefault="00C26FE0" w:rsidP="00C26FE0">
            <w:pPr>
              <w:pStyle w:val="Testocommento"/>
              <w:rPr>
                <w:sz w:val="18"/>
                <w:szCs w:val="18"/>
              </w:rPr>
            </w:pPr>
            <w:r w:rsidRPr="004034A6">
              <w:rPr>
                <w:sz w:val="18"/>
                <w:szCs w:val="18"/>
              </w:rPr>
              <w:t>Le spese finanziate a titolo del FEASR non possano beneficiare di alcun altro finanziamento dal bilancio dell'Unione europea. Pertanto, al fine di evitare il doppio finanziamento irregolare delle spese, sono adottate le seguenti disposizioni:</w:t>
            </w:r>
          </w:p>
          <w:p w14:paraId="760AC741" w14:textId="77777777" w:rsidR="00C26FE0" w:rsidRPr="004034A6" w:rsidRDefault="00C26FE0" w:rsidP="00C26FE0">
            <w:pPr>
              <w:pStyle w:val="Testocommento"/>
              <w:numPr>
                <w:ilvl w:val="0"/>
                <w:numId w:val="15"/>
              </w:numPr>
              <w:suppressAutoHyphens w:val="0"/>
              <w:rPr>
                <w:sz w:val="18"/>
                <w:szCs w:val="18"/>
              </w:rPr>
            </w:pPr>
            <w:r w:rsidRPr="004034A6">
              <w:rPr>
                <w:sz w:val="18"/>
                <w:szCs w:val="18"/>
              </w:rPr>
              <w:t xml:space="preserve">le Autorità di Gestione possono istituire, per mezzo dei propri Organismi pagatori, idonei sistemi informativi atti a verificare ed evitare i predetti doppi pagamenti ovvero definiscono specifici meccanismi di demarcazione con altri interventi finanziati nell’ambito del </w:t>
            </w:r>
            <w:proofErr w:type="gramStart"/>
            <w:r w:rsidRPr="004034A6">
              <w:rPr>
                <w:sz w:val="18"/>
                <w:szCs w:val="18"/>
              </w:rPr>
              <w:t>presente</w:t>
            </w:r>
            <w:proofErr w:type="gramEnd"/>
            <w:r w:rsidRPr="004034A6">
              <w:rPr>
                <w:sz w:val="18"/>
                <w:szCs w:val="18"/>
              </w:rPr>
              <w:t xml:space="preserve"> Piano strategico e/o con altri strumenti finanziari dell’Unione europea;</w:t>
            </w:r>
          </w:p>
          <w:p w14:paraId="168B0CDD" w14:textId="77777777" w:rsidR="00C26FE0" w:rsidRPr="004034A6" w:rsidRDefault="00C26FE0" w:rsidP="00C26FE0">
            <w:pPr>
              <w:pStyle w:val="Testocommento"/>
              <w:numPr>
                <w:ilvl w:val="0"/>
                <w:numId w:val="15"/>
              </w:numPr>
              <w:suppressAutoHyphens w:val="0"/>
              <w:rPr>
                <w:sz w:val="18"/>
                <w:szCs w:val="18"/>
              </w:rPr>
            </w:pPr>
            <w:r w:rsidRPr="004034A6">
              <w:rPr>
                <w:sz w:val="18"/>
                <w:szCs w:val="18"/>
              </w:rPr>
              <w:t>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w:t>
            </w:r>
          </w:p>
          <w:p w14:paraId="6F7944B0" w14:textId="77777777" w:rsidR="00C26FE0" w:rsidRPr="004034A6" w:rsidRDefault="00C26FE0" w:rsidP="00C26FE0">
            <w:pPr>
              <w:pStyle w:val="Testocommento"/>
              <w:numPr>
                <w:ilvl w:val="0"/>
                <w:numId w:val="15"/>
              </w:numPr>
              <w:suppressAutoHyphens w:val="0"/>
              <w:rPr>
                <w:sz w:val="18"/>
                <w:szCs w:val="18"/>
              </w:rPr>
            </w:pPr>
            <w:r w:rsidRPr="004034A6">
              <w:rPr>
                <w:sz w:val="18"/>
                <w:szCs w:val="18"/>
              </w:rPr>
              <w:t>tuttavia, nei casi di cui alla lettera b) non possono essere sostenute dal FEASR le medesime voci di spesa che hanno ricevuto un sostegno da un altro fondo di cui all'articolo 1, paragrafo 1, del regolamento (UE) 2021/1060 o da un altro strumento dell'Unione o dal medesimo piano strategico della PAC.</w:t>
            </w:r>
          </w:p>
          <w:p w14:paraId="1A4CFBF1" w14:textId="77777777" w:rsidR="00C26FE0" w:rsidRPr="004034A6" w:rsidRDefault="00C26FE0" w:rsidP="00C26FE0">
            <w:pPr>
              <w:pStyle w:val="Testocommento"/>
              <w:rPr>
                <w:sz w:val="18"/>
                <w:szCs w:val="18"/>
              </w:rPr>
            </w:pPr>
          </w:p>
          <w:p w14:paraId="166A0486" w14:textId="77777777" w:rsidR="00C26FE0" w:rsidRPr="004034A6" w:rsidRDefault="00C26FE0" w:rsidP="00C26FE0">
            <w:pPr>
              <w:pStyle w:val="Testocommento"/>
              <w:rPr>
                <w:sz w:val="18"/>
                <w:szCs w:val="18"/>
              </w:rPr>
            </w:pPr>
            <w:r w:rsidRPr="004034A6">
              <w:rPr>
                <w:sz w:val="18"/>
                <w:szCs w:val="18"/>
              </w:rPr>
              <w:t>2.2) Strumenti nazionali</w:t>
            </w:r>
          </w:p>
          <w:p w14:paraId="7C3C5674" w14:textId="77777777" w:rsidR="00C26FE0" w:rsidRPr="004034A6" w:rsidRDefault="00C26FE0" w:rsidP="00C26FE0">
            <w:pPr>
              <w:pStyle w:val="Testocommento"/>
              <w:rPr>
                <w:sz w:val="18"/>
                <w:szCs w:val="18"/>
              </w:rPr>
            </w:pPr>
            <w:r w:rsidRPr="004034A6">
              <w:rPr>
                <w:sz w:val="18"/>
                <w:szCs w:val="18"/>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31CD8ED0" w14:textId="77777777" w:rsidR="00C26FE0" w:rsidRPr="004034A6" w:rsidRDefault="00C26FE0" w:rsidP="00C26FE0">
            <w:pPr>
              <w:spacing w:after="0"/>
              <w:jc w:val="both"/>
              <w:rPr>
                <w:rFonts w:cs="Cordia New"/>
                <w:color w:val="000000"/>
                <w:sz w:val="18"/>
                <w:szCs w:val="18"/>
              </w:rPr>
            </w:pPr>
          </w:p>
          <w:p w14:paraId="6E406E7E" w14:textId="7F367F23" w:rsidR="00C26FE0" w:rsidRPr="004034A6" w:rsidRDefault="00C26FE0" w:rsidP="00C26FE0">
            <w:pPr>
              <w:jc w:val="both"/>
              <w:rPr>
                <w:rFonts w:cs="Cordia New"/>
                <w:color w:val="000000"/>
                <w:sz w:val="18"/>
                <w:szCs w:val="18"/>
              </w:rPr>
            </w:pPr>
          </w:p>
        </w:tc>
      </w:tr>
      <w:tr w:rsidR="007320EB" w:rsidRPr="004034A6" w14:paraId="6052C1A6"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4164DB5" w14:textId="77777777" w:rsidR="007320EB" w:rsidRPr="004034A6" w:rsidRDefault="007320EB" w:rsidP="00BF0565">
            <w:pPr>
              <w:rPr>
                <w:rFonts w:cs="Cordia New"/>
                <w:b/>
                <w:caps/>
                <w:color w:val="000000"/>
                <w:sz w:val="18"/>
                <w:szCs w:val="18"/>
              </w:rPr>
            </w:pPr>
            <w:r w:rsidRPr="004034A6">
              <w:rPr>
                <w:rFonts w:cs="Cordia New"/>
                <w:b/>
                <w:caps/>
                <w:color w:val="000000"/>
                <w:sz w:val="18"/>
                <w:szCs w:val="18"/>
              </w:rPr>
              <w:t>EROGAZIONE DI ANTICIPI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B50376" w14:textId="64364843" w:rsidR="007320EB" w:rsidRPr="004034A6" w:rsidRDefault="007320EB" w:rsidP="007320EB">
            <w:pPr>
              <w:jc w:val="both"/>
              <w:rPr>
                <w:rFonts w:cs="Cordia New"/>
                <w:color w:val="000000"/>
                <w:sz w:val="18"/>
                <w:szCs w:val="18"/>
              </w:rPr>
            </w:pPr>
            <w:r w:rsidRPr="004034A6">
              <w:rPr>
                <w:rFonts w:cs="Cordia New"/>
                <w:color w:val="000000"/>
                <w:sz w:val="18"/>
                <w:szCs w:val="18"/>
              </w:rPr>
              <w:t>È consentito il pagamento di anticipi ai beneficiari da parte degli Organismi pagatori per un importo massimo del 50% del contributo concesso per le singole operazioni alle condizioni stabilite nella sezione 4.7.3, paragrafo 3, del PSP.</w:t>
            </w:r>
          </w:p>
        </w:tc>
      </w:tr>
      <w:tr w:rsidR="007320EB" w:rsidRPr="004034A6" w14:paraId="1CA8CA1F"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2AC19B6B" w14:textId="0D0D08DE" w:rsidR="007320EB" w:rsidRPr="004034A6" w:rsidRDefault="006B3EE0" w:rsidP="00BF0565">
            <w:pPr>
              <w:rPr>
                <w:rFonts w:cs="Cordia New"/>
                <w:b/>
                <w:caps/>
                <w:color w:val="000000"/>
                <w:sz w:val="18"/>
                <w:szCs w:val="18"/>
              </w:rPr>
            </w:pPr>
            <w:r w:rsidRPr="004034A6">
              <w:rPr>
                <w:rFonts w:cs="Cordia New"/>
                <w:b/>
                <w:caps/>
                <w:color w:val="000000"/>
                <w:sz w:val="18"/>
                <w:szCs w:val="18"/>
              </w:rPr>
              <w:t>tipo</w:t>
            </w:r>
            <w:r w:rsidR="007320EB" w:rsidRPr="004034A6">
              <w:rPr>
                <w:rFonts w:cs="Cordia New"/>
                <w:b/>
                <w:caps/>
                <w:color w:val="000000"/>
                <w:sz w:val="18"/>
                <w:szCs w:val="18"/>
              </w:rPr>
              <w:t xml:space="preserve"> del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49BF4D" w14:textId="77777777" w:rsidR="007320EB" w:rsidRPr="004034A6" w:rsidRDefault="00FD7E1E" w:rsidP="00FD7E1E">
            <w:pPr>
              <w:jc w:val="both"/>
              <w:rPr>
                <w:rFonts w:cs="Cordia New"/>
                <w:color w:val="000000"/>
                <w:sz w:val="18"/>
                <w:szCs w:val="18"/>
              </w:rPr>
            </w:pPr>
            <w:r w:rsidRPr="004034A6">
              <w:rPr>
                <w:rFonts w:cs="Cordia New"/>
                <w:color w:val="000000"/>
                <w:sz w:val="18"/>
                <w:szCs w:val="18"/>
              </w:rPr>
              <w:t>Il sostegno prevede un massimale di 100.000 euro che può essere concesso sotto forma di pagamenti forfetari in conto capitale, anche in più rate, o attraverso il ricorso a strumenti finanziari o attraverso una combinazione delle due modalità. Il massimale può essere differenziato in base a criteri oggettivi che ciascun GAL potrà stabilire (come previsto all’art. 75, par. 4 del Regolamento (UE) 2021/2115.</w:t>
            </w:r>
          </w:p>
          <w:p w14:paraId="3D9981BE" w14:textId="77777777" w:rsidR="008E4A0C" w:rsidRPr="004034A6" w:rsidRDefault="008E4A0C" w:rsidP="008E4A0C">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8E4A0C" w:rsidRPr="004034A6" w14:paraId="454368AC" w14:textId="77777777" w:rsidTr="00882C8A">
              <w:tc>
                <w:tcPr>
                  <w:tcW w:w="5316" w:type="dxa"/>
                </w:tcPr>
                <w:p w14:paraId="451328D2" w14:textId="0A343D52" w:rsidR="008E4A0C" w:rsidRPr="004034A6" w:rsidRDefault="008E4A0C" w:rsidP="008E4A0C">
                  <w:pPr>
                    <w:jc w:val="both"/>
                    <w:rPr>
                      <w:rFonts w:cs="Cordia New"/>
                      <w:color w:val="000000"/>
                      <w:sz w:val="18"/>
                      <w:szCs w:val="18"/>
                    </w:rPr>
                  </w:pPr>
                  <w:r w:rsidRPr="004034A6">
                    <w:rPr>
                      <w:rFonts w:cs="Cordia New"/>
                      <w:color w:val="000000"/>
                      <w:sz w:val="18"/>
                      <w:szCs w:val="18"/>
                    </w:rPr>
                    <w:t>Importo dell’aiuto forfettario</w:t>
                  </w:r>
                </w:p>
              </w:tc>
              <w:tc>
                <w:tcPr>
                  <w:tcW w:w="1265" w:type="dxa"/>
                </w:tcPr>
                <w:p w14:paraId="0B11CF1E" w14:textId="355900DF" w:rsidR="008E4A0C" w:rsidRPr="004034A6" w:rsidRDefault="008E4A0C" w:rsidP="008E4A0C">
                  <w:pPr>
                    <w:jc w:val="both"/>
                    <w:rPr>
                      <w:rFonts w:cs="Cordia New"/>
                      <w:color w:val="000000"/>
                      <w:sz w:val="18"/>
                      <w:szCs w:val="18"/>
                    </w:rPr>
                  </w:pPr>
                  <w:r w:rsidRPr="004034A6">
                    <w:rPr>
                      <w:rFonts w:cs="Cordia New"/>
                      <w:color w:val="000000"/>
                      <w:sz w:val="18"/>
                      <w:szCs w:val="18"/>
                    </w:rPr>
                    <w:t>€ 30.000</w:t>
                  </w:r>
                </w:p>
              </w:tc>
            </w:tr>
          </w:tbl>
          <w:p w14:paraId="61372C3B" w14:textId="22E346DE" w:rsidR="008E4A0C" w:rsidRPr="004034A6" w:rsidRDefault="008E4A0C" w:rsidP="00FD7E1E">
            <w:pPr>
              <w:jc w:val="both"/>
              <w:rPr>
                <w:rFonts w:cs="Cordia New"/>
                <w:color w:val="000000"/>
                <w:sz w:val="18"/>
                <w:szCs w:val="18"/>
              </w:rPr>
            </w:pPr>
          </w:p>
        </w:tc>
      </w:tr>
    </w:tbl>
    <w:p w14:paraId="705F1531" w14:textId="77777777" w:rsidR="00061C1C" w:rsidRPr="004034A6" w:rsidRDefault="00061C1C" w:rsidP="00061C1C"/>
    <w:p w14:paraId="5BB7098C" w14:textId="77777777" w:rsidR="00A3681B" w:rsidRPr="004034A6" w:rsidRDefault="00A3681B" w:rsidP="00A3681B">
      <w:pPr>
        <w:autoSpaceDE w:val="0"/>
        <w:autoSpaceDN w:val="0"/>
        <w:adjustRightInd w:val="0"/>
        <w:jc w:val="both"/>
        <w:rPr>
          <w:rFonts w:cs="Cordia New"/>
          <w:b/>
          <w:bCs/>
          <w:color w:val="000000"/>
          <w:sz w:val="18"/>
          <w:szCs w:val="18"/>
          <w:u w:val="single"/>
        </w:rPr>
      </w:pPr>
      <w:r w:rsidRPr="004034A6">
        <w:rPr>
          <w:rFonts w:cs="Cordia New"/>
          <w:b/>
          <w:bCs/>
          <w:color w:val="000000"/>
          <w:sz w:val="18"/>
          <w:szCs w:val="18"/>
          <w:u w:val="single"/>
        </w:rPr>
        <w:t>Per ogni altro contenuto non presente nella scheda, ma pertinente alle azioni che si vogliono attuare, fanno fede i contenuti della scheda del PSP.</w:t>
      </w:r>
    </w:p>
    <w:p w14:paraId="76C8DF96" w14:textId="77777777" w:rsidR="007320EB" w:rsidRPr="004034A6" w:rsidRDefault="007320EB" w:rsidP="00A3681B">
      <w:pPr>
        <w:autoSpaceDE w:val="0"/>
        <w:autoSpaceDN w:val="0"/>
        <w:adjustRightInd w:val="0"/>
        <w:jc w:val="both"/>
        <w:rPr>
          <w:rFonts w:cs="Cordia New"/>
          <w:b/>
          <w:bCs/>
          <w:color w:val="000000"/>
          <w:sz w:val="18"/>
          <w:szCs w:val="18"/>
          <w:u w:val="singl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86"/>
        <w:gridCol w:w="6879"/>
      </w:tblGrid>
      <w:tr w:rsidR="007320EB" w:rsidRPr="004034A6" w14:paraId="2F26C44E" w14:textId="77777777" w:rsidTr="006B3EE0">
        <w:tc>
          <w:tcPr>
            <w:tcW w:w="3148" w:type="dxa"/>
            <w:tcBorders>
              <w:top w:val="single" w:sz="4" w:space="0" w:color="00000A"/>
              <w:left w:val="single" w:sz="4" w:space="0" w:color="00000A"/>
              <w:bottom w:val="single" w:sz="4" w:space="0" w:color="00000A"/>
              <w:right w:val="single" w:sz="4" w:space="0" w:color="00000A"/>
            </w:tcBorders>
          </w:tcPr>
          <w:p w14:paraId="5DA15D67" w14:textId="77777777" w:rsidR="007320EB" w:rsidRPr="004034A6" w:rsidRDefault="007320EB" w:rsidP="00BF0565">
            <w:pPr>
              <w:rPr>
                <w:rFonts w:cs="Cordia New"/>
                <w:b/>
                <w:color w:val="000000"/>
                <w:sz w:val="18"/>
                <w:szCs w:val="18"/>
              </w:rPr>
            </w:pPr>
            <w:r w:rsidRPr="004034A6">
              <w:rPr>
                <w:rFonts w:cs="Cordia New"/>
                <w:b/>
                <w:caps/>
                <w:color w:val="000000"/>
                <w:sz w:val="18"/>
                <w:szCs w:val="18"/>
              </w:rPr>
              <w:t>TRATTAMENTO DATI PERSONALI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90F90" w14:textId="77777777" w:rsidR="007320EB" w:rsidRPr="004034A6" w:rsidRDefault="007320EB" w:rsidP="00BF0565">
            <w:pPr>
              <w:jc w:val="both"/>
              <w:rPr>
                <w:rFonts w:cs="Cordia New"/>
                <w:color w:val="000000"/>
                <w:sz w:val="18"/>
                <w:szCs w:val="18"/>
              </w:rPr>
            </w:pPr>
            <w:r w:rsidRPr="004034A6">
              <w:rPr>
                <w:rFonts w:cs="Cordia New"/>
                <w:color w:val="000000"/>
                <w:sz w:val="18"/>
                <w:szCs w:val="18"/>
              </w:rPr>
              <w:t>In attuazione del Codice in materia di protezione dei dati personali (</w:t>
            </w:r>
            <w:proofErr w:type="spellStart"/>
            <w:r w:rsidRPr="004034A6">
              <w:rPr>
                <w:rFonts w:cs="Cordia New"/>
                <w:color w:val="000000"/>
                <w:sz w:val="18"/>
                <w:szCs w:val="18"/>
              </w:rPr>
              <w:t>D.Lgs.</w:t>
            </w:r>
            <w:proofErr w:type="spellEnd"/>
            <w:r w:rsidRPr="004034A6">
              <w:rPr>
                <w:rFonts w:cs="Cordia New"/>
                <w:color w:val="000000"/>
                <w:sz w:val="18"/>
                <w:szCs w:val="18"/>
              </w:rPr>
              <w:t xml:space="preserve"> n. 196/2003, Regolamento UE n. 2016/679 e </w:t>
            </w:r>
            <w:proofErr w:type="spellStart"/>
            <w:r w:rsidRPr="004034A6">
              <w:rPr>
                <w:rFonts w:cs="Cordia New"/>
                <w:color w:val="000000"/>
                <w:sz w:val="18"/>
                <w:szCs w:val="18"/>
              </w:rPr>
              <w:t>D.Lgs.</w:t>
            </w:r>
            <w:proofErr w:type="spellEnd"/>
            <w:r w:rsidRPr="004034A6">
              <w:rPr>
                <w:rFonts w:cs="Cordia New"/>
                <w:color w:val="000000"/>
                <w:sz w:val="18"/>
                <w:szCs w:val="18"/>
              </w:rPr>
              <w:t xml:space="preserve"> n.101/2018), si rimanda all’Informativa sul trattamento dei dati personali di cui all’Allegato A.</w:t>
            </w:r>
          </w:p>
        </w:tc>
      </w:tr>
    </w:tbl>
    <w:p w14:paraId="6D363882" w14:textId="77777777" w:rsidR="00BB3DE8" w:rsidRPr="004034A6" w:rsidRDefault="00BB3DE8" w:rsidP="00BF0565">
      <w:pPr>
        <w:rPr>
          <w:rFonts w:cs="Cordia New"/>
          <w:b/>
          <w:caps/>
          <w:color w:val="000000"/>
          <w:sz w:val="18"/>
          <w:szCs w:val="18"/>
        </w:rPr>
      </w:pPr>
    </w:p>
    <w:p w14:paraId="2B21DB37" w14:textId="77777777" w:rsidR="00BB3DE8" w:rsidRPr="004034A6" w:rsidRDefault="00BB3DE8" w:rsidP="00BF0565">
      <w:pPr>
        <w:rPr>
          <w:rFonts w:cs="Cordia New"/>
          <w:b/>
          <w:caps/>
          <w:color w:val="000000"/>
          <w:sz w:val="18"/>
          <w:szCs w:val="18"/>
        </w:rPr>
      </w:pPr>
    </w:p>
    <w:p w14:paraId="3C634E2C" w14:textId="77777777" w:rsidR="00BB3DE8" w:rsidRPr="004034A6" w:rsidRDefault="00BB3DE8" w:rsidP="00BF0565">
      <w:pPr>
        <w:rPr>
          <w:rFonts w:cs="Cordia New"/>
          <w:b/>
          <w:caps/>
          <w:sz w:val="18"/>
          <w:szCs w:val="18"/>
        </w:rPr>
      </w:pPr>
    </w:p>
    <w:p w14:paraId="14EEF540" w14:textId="77777777" w:rsidR="00BB3DE8" w:rsidRPr="004034A6" w:rsidRDefault="00BB3DE8" w:rsidP="00BF0565">
      <w:pPr>
        <w:rPr>
          <w:rFonts w:cs="Cordia New"/>
          <w:b/>
          <w:caps/>
          <w:sz w:val="18"/>
          <w:szCs w:val="18"/>
        </w:rPr>
      </w:pPr>
    </w:p>
    <w:p w14:paraId="4E11D7E2" w14:textId="77777777" w:rsidR="00BB3DE8" w:rsidRPr="004034A6" w:rsidRDefault="00BB3DE8" w:rsidP="00BF0565">
      <w:pPr>
        <w:rPr>
          <w:rFonts w:cs="Cordia New"/>
          <w:b/>
          <w:caps/>
          <w:sz w:val="18"/>
          <w:szCs w:val="18"/>
        </w:rPr>
      </w:pPr>
    </w:p>
    <w:p w14:paraId="424D3891" w14:textId="77777777" w:rsidR="00BB3DE8" w:rsidRPr="004034A6" w:rsidRDefault="00BB3DE8" w:rsidP="00BB3DE8">
      <w:pPr>
        <w:suppressAutoHyphens/>
        <w:spacing w:after="0" w:line="240" w:lineRule="auto"/>
        <w:rPr>
          <w:rFonts w:ascii="Calibri" w:eastAsia="Droid Sans Fallback" w:hAnsi="Calibri" w:cs="Calibri"/>
          <w:kern w:val="0"/>
          <w:sz w:val="24"/>
          <w:szCs w:val="24"/>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385D72" w:rsidRPr="004034A6" w14:paraId="1C42E474" w14:textId="77777777" w:rsidTr="00882C8A">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7FEE2A" w14:textId="77777777" w:rsidR="00BB3DE8" w:rsidRPr="004034A6" w:rsidRDefault="00BB3DE8" w:rsidP="00882C8A">
            <w:pPr>
              <w:suppressAutoHyphens/>
              <w:spacing w:after="0" w:line="240" w:lineRule="auto"/>
              <w:rPr>
                <w:rFonts w:ascii="Calibri" w:eastAsia="Droid Sans Fallback" w:hAnsi="Calibri" w:cs="Cordia New"/>
                <w:b/>
                <w:caps/>
                <w:kern w:val="0"/>
                <w:sz w:val="18"/>
                <w:szCs w:val="18"/>
                <w14:ligatures w14:val="none"/>
              </w:rPr>
            </w:pPr>
            <w:r w:rsidRPr="004034A6">
              <w:rPr>
                <w:rFonts w:ascii="Calibri" w:eastAsia="Droid Sans Fallback" w:hAnsi="Calibri" w:cs="Cordia New"/>
                <w:b/>
                <w:caps/>
                <w:kern w:val="0"/>
                <w:sz w:val="18"/>
                <w:szCs w:val="18"/>
                <w14:ligatures w14:val="none"/>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E092C7" w14:textId="77777777" w:rsidR="00BB3DE8" w:rsidRPr="004034A6" w:rsidRDefault="00BB3DE8" w:rsidP="00882C8A">
            <w:pPr>
              <w:suppressAutoHyphens/>
              <w:spacing w:after="0" w:line="240" w:lineRule="auto"/>
              <w:jc w:val="center"/>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6BCE1C" w14:textId="77777777" w:rsidR="00BB3DE8" w:rsidRPr="004034A6" w:rsidRDefault="00BB3DE8" w:rsidP="00882C8A">
            <w:pPr>
              <w:suppressAutoHyphens/>
              <w:spacing w:after="0" w:line="240" w:lineRule="auto"/>
              <w:jc w:val="center"/>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CEDEB6" w14:textId="77777777" w:rsidR="00BB3DE8" w:rsidRPr="004034A6" w:rsidRDefault="00BB3DE8" w:rsidP="00882C8A">
            <w:pPr>
              <w:suppressAutoHyphens/>
              <w:spacing w:after="0" w:line="240" w:lineRule="auto"/>
              <w:jc w:val="center"/>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Contributo FEASR</w:t>
            </w:r>
          </w:p>
        </w:tc>
      </w:tr>
      <w:tr w:rsidR="00385D72" w:rsidRPr="004034A6" w14:paraId="79E9327A" w14:textId="77777777" w:rsidTr="00882C8A">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430531" w14:textId="77777777" w:rsidR="00BB3DE8" w:rsidRPr="004034A6" w:rsidRDefault="00BB3DE8" w:rsidP="00882C8A">
            <w:pPr>
              <w:suppressAutoHyphens/>
              <w:spacing w:after="0" w:line="240" w:lineRule="auto"/>
              <w:rPr>
                <w:rFonts w:ascii="Calibri" w:eastAsia="Droid Sans Fallback" w:hAnsi="Calibri" w:cs="Cordia New"/>
                <w:b/>
                <w:caps/>
                <w:kern w:val="0"/>
                <w:sz w:val="18"/>
                <w:szCs w:val="18"/>
                <w14:ligatures w14:val="none"/>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2AF47B" w14:textId="65785DE1" w:rsidR="00BB3DE8" w:rsidRPr="004034A6" w:rsidRDefault="00A2518F" w:rsidP="00882C8A">
            <w:pPr>
              <w:suppressAutoHyphens/>
              <w:spacing w:after="0" w:line="240" w:lineRule="auto"/>
              <w:jc w:val="center"/>
              <w:rPr>
                <w:rFonts w:ascii="Calibri" w:eastAsia="Droid Sans Fallback" w:hAnsi="Calibri" w:cs="Cordia New"/>
                <w:i/>
                <w:kern w:val="0"/>
                <w:sz w:val="18"/>
                <w:szCs w:val="18"/>
                <w14:ligatures w14:val="none"/>
              </w:rPr>
            </w:pPr>
            <w:r w:rsidRPr="004034A6">
              <w:rPr>
                <w:rFonts w:ascii="Calibri" w:eastAsia="Droid Sans Fallback" w:hAnsi="Calibri" w:cs="Cordia New"/>
                <w:i/>
                <w:kern w:val="0"/>
                <w:sz w:val="18"/>
                <w:szCs w:val="18"/>
                <w14:ligatures w14:val="none"/>
              </w:rPr>
              <w:t>Non coerente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F1D7B1" w14:textId="45E14BA2" w:rsidR="00BB3DE8" w:rsidRPr="004034A6" w:rsidRDefault="00BB3DE8" w:rsidP="00882C8A">
            <w:pPr>
              <w:suppressAutoHyphens/>
              <w:spacing w:after="0" w:line="240" w:lineRule="auto"/>
              <w:jc w:val="center"/>
              <w:rPr>
                <w:rFonts w:ascii="Calibri" w:eastAsia="Droid Sans Fallback" w:hAnsi="Calibri" w:cs="Cordia New"/>
                <w:i/>
                <w:kern w:val="0"/>
                <w:sz w:val="18"/>
                <w:szCs w:val="18"/>
                <w14:ligatures w14:val="none"/>
              </w:rPr>
            </w:pPr>
            <w:r w:rsidRPr="004034A6">
              <w:rPr>
                <w:rFonts w:ascii="Calibri" w:eastAsia="Droid Sans Fallback" w:hAnsi="Calibri" w:cs="Cordia New"/>
                <w:i/>
                <w:kern w:val="0"/>
                <w:sz w:val="18"/>
                <w:szCs w:val="18"/>
                <w14:ligatures w14:val="none"/>
              </w:rPr>
              <w:t xml:space="preserve">€ </w:t>
            </w:r>
            <w:r w:rsidR="00A2518F" w:rsidRPr="004034A6">
              <w:rPr>
                <w:rFonts w:ascii="Calibri" w:eastAsia="Droid Sans Fallback" w:hAnsi="Calibri" w:cs="Cordia New"/>
                <w:i/>
                <w:kern w:val="0"/>
                <w:sz w:val="18"/>
                <w:szCs w:val="18"/>
                <w14:ligatures w14:val="none"/>
              </w:rPr>
              <w:t>21</w:t>
            </w:r>
            <w:r w:rsidRPr="004034A6">
              <w:rPr>
                <w:rFonts w:ascii="Calibri" w:eastAsia="Droid Sans Fallback" w:hAnsi="Calibri" w:cs="Cordia New"/>
                <w:i/>
                <w:kern w:val="0"/>
                <w:sz w:val="18"/>
                <w:szCs w:val="18"/>
                <w14:ligatures w14:val="none"/>
              </w:rPr>
              <w:t>0.000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EC864E" w14:textId="5A08C67E" w:rsidR="00BB3DE8" w:rsidRPr="004034A6" w:rsidRDefault="00BB3DE8" w:rsidP="00882C8A">
            <w:pPr>
              <w:suppressAutoHyphens/>
              <w:spacing w:after="0" w:line="240" w:lineRule="auto"/>
              <w:jc w:val="center"/>
              <w:rPr>
                <w:rFonts w:ascii="Calibri" w:eastAsia="Droid Sans Fallback" w:hAnsi="Calibri" w:cs="Cordia New"/>
                <w:i/>
                <w:kern w:val="0"/>
                <w:sz w:val="18"/>
                <w:szCs w:val="18"/>
                <w14:ligatures w14:val="none"/>
              </w:rPr>
            </w:pPr>
            <w:r w:rsidRPr="004034A6">
              <w:rPr>
                <w:rFonts w:ascii="Calibri" w:eastAsia="Droid Sans Fallback" w:hAnsi="Calibri" w:cs="Cordia New"/>
                <w:i/>
                <w:kern w:val="0"/>
                <w:sz w:val="18"/>
                <w:szCs w:val="18"/>
                <w14:ligatures w14:val="none"/>
              </w:rPr>
              <w:t xml:space="preserve">€ </w:t>
            </w:r>
            <w:r w:rsidR="001A104D" w:rsidRPr="004034A6">
              <w:rPr>
                <w:rFonts w:ascii="Calibri" w:eastAsia="Droid Sans Fallback" w:hAnsi="Calibri" w:cs="Cordia New"/>
                <w:i/>
                <w:kern w:val="0"/>
                <w:sz w:val="18"/>
                <w:szCs w:val="18"/>
                <w14:ligatures w14:val="none"/>
              </w:rPr>
              <w:t>85.470</w:t>
            </w:r>
          </w:p>
        </w:tc>
      </w:tr>
    </w:tbl>
    <w:p w14:paraId="024271DA"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p w14:paraId="4A1671AA" w14:textId="55103423"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 xml:space="preserve">di cui contributo pubblico riserva SRG07 </w:t>
      </w:r>
      <w:r w:rsidR="00A2518F" w:rsidRPr="004034A6">
        <w:rPr>
          <w:rFonts w:ascii="Calibri" w:eastAsia="Droid Sans Fallback" w:hAnsi="Calibri" w:cs="Cordia New"/>
          <w:b/>
          <w:kern w:val="0"/>
          <w:sz w:val="18"/>
          <w:szCs w:val="18"/>
          <w14:ligatures w14:val="none"/>
        </w:rPr>
        <w:t>6</w:t>
      </w:r>
      <w:r w:rsidRPr="004034A6">
        <w:rPr>
          <w:rFonts w:ascii="Calibri" w:eastAsia="Droid Sans Fallback" w:hAnsi="Calibri" w:cs="Cordia New"/>
          <w:b/>
          <w:kern w:val="0"/>
          <w:sz w:val="18"/>
          <w:szCs w:val="18"/>
          <w14:ligatures w14:val="none"/>
        </w:rPr>
        <w:t>0.000</w:t>
      </w:r>
    </w:p>
    <w:p w14:paraId="5A136CD0"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p w14:paraId="3642412D"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385D72" w:rsidRPr="004034A6" w14:paraId="5E28B412" w14:textId="77777777" w:rsidTr="00882C8A">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26CB3E7B" w14:textId="77777777" w:rsidR="00BB3DE8" w:rsidRPr="004034A6" w:rsidRDefault="00BB3DE8" w:rsidP="00882C8A">
            <w:pPr>
              <w:spacing w:after="0" w:line="240" w:lineRule="auto"/>
              <w:jc w:val="center"/>
              <w:rPr>
                <w:rFonts w:ascii="Calibri" w:eastAsia="Times New Roman" w:hAnsi="Calibri" w:cs="Calibri"/>
                <w:b/>
                <w:bCs/>
                <w:kern w:val="0"/>
                <w:sz w:val="20"/>
                <w:szCs w:val="20"/>
                <w:lang w:eastAsia="it-IT"/>
                <w14:ligatures w14:val="none"/>
              </w:rPr>
            </w:pPr>
            <w:r w:rsidRPr="004034A6">
              <w:rPr>
                <w:rFonts w:ascii="Calibri" w:eastAsia="Times New Roman" w:hAnsi="Calibri" w:cs="Cordia New"/>
                <w:b/>
                <w:bCs/>
                <w:caps/>
                <w:kern w:val="0"/>
                <w:sz w:val="20"/>
                <w:szCs w:val="20"/>
                <w:lang w:eastAsia="it-IT"/>
                <w14:ligatures w14:val="none"/>
              </w:rPr>
              <w:t>cronoprogramma procedure e finanziario</w:t>
            </w:r>
          </w:p>
        </w:tc>
      </w:tr>
      <w:tr w:rsidR="00385D72" w:rsidRPr="004034A6" w14:paraId="09399EAF" w14:textId="77777777" w:rsidTr="00882C8A">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5A910A01" w14:textId="77777777" w:rsidR="00BB3DE8" w:rsidRPr="004034A6" w:rsidRDefault="00BB3DE8" w:rsidP="00882C8A">
            <w:pPr>
              <w:spacing w:after="0" w:line="240" w:lineRule="auto"/>
              <w:jc w:val="center"/>
              <w:rPr>
                <w:rFonts w:ascii="Calibri" w:eastAsia="Times New Roman" w:hAnsi="Calibri" w:cs="Calibri"/>
                <w:b/>
                <w:bCs/>
                <w:kern w:val="0"/>
                <w:sz w:val="18"/>
                <w:szCs w:val="18"/>
                <w:lang w:eastAsia="it-IT"/>
                <w14:ligatures w14:val="none"/>
              </w:rPr>
            </w:pPr>
            <w:r w:rsidRPr="004034A6">
              <w:rPr>
                <w:rFonts w:ascii="Calibri" w:eastAsia="Times New Roman" w:hAnsi="Calibri" w:cs="Cordia New"/>
                <w:b/>
                <w:bCs/>
                <w:kern w:val="0"/>
                <w:sz w:val="18"/>
                <w:szCs w:val="18"/>
                <w:lang w:eastAsia="it-IT"/>
                <w14:ligatures w14:val="none"/>
              </w:rPr>
              <w:t>Importi contributo pubblico di spesa prevista in relazione al bando</w:t>
            </w:r>
          </w:p>
        </w:tc>
      </w:tr>
      <w:tr w:rsidR="00385D72" w:rsidRPr="004034A6" w14:paraId="66D97ED6" w14:textId="77777777" w:rsidTr="00882C8A">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02895CA5"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6AB3DAD7"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10DF4D17"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619D33CF"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caps/>
                <w:kern w:val="0"/>
                <w:sz w:val="16"/>
                <w:szCs w:val="16"/>
                <w:lang w:eastAsia="it-IT"/>
                <w14:ligatures w14:val="none"/>
              </w:rPr>
              <w:t>2027</w:t>
            </w:r>
          </w:p>
        </w:tc>
      </w:tr>
      <w:tr w:rsidR="00385D72" w:rsidRPr="004034A6" w14:paraId="4460BBD3" w14:textId="77777777" w:rsidTr="00882C8A">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40E3D480"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1° semestre</w:t>
            </w:r>
          </w:p>
        </w:tc>
        <w:tc>
          <w:tcPr>
            <w:tcW w:w="1258" w:type="dxa"/>
            <w:tcBorders>
              <w:top w:val="nil"/>
              <w:left w:val="nil"/>
              <w:bottom w:val="single" w:sz="8" w:space="0" w:color="00000A"/>
              <w:right w:val="single" w:sz="8" w:space="0" w:color="00000A"/>
            </w:tcBorders>
            <w:shd w:val="clear" w:color="auto" w:fill="auto"/>
            <w:vAlign w:val="center"/>
            <w:hideMark/>
          </w:tcPr>
          <w:p w14:paraId="7F5BF688"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2° semestre</w:t>
            </w:r>
          </w:p>
        </w:tc>
        <w:tc>
          <w:tcPr>
            <w:tcW w:w="1258" w:type="dxa"/>
            <w:tcBorders>
              <w:top w:val="nil"/>
              <w:left w:val="nil"/>
              <w:bottom w:val="single" w:sz="8" w:space="0" w:color="00000A"/>
              <w:right w:val="single" w:sz="8" w:space="0" w:color="00000A"/>
            </w:tcBorders>
            <w:shd w:val="clear" w:color="auto" w:fill="auto"/>
            <w:vAlign w:val="center"/>
            <w:hideMark/>
          </w:tcPr>
          <w:p w14:paraId="060DBCEA"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1° semestre</w:t>
            </w:r>
          </w:p>
        </w:tc>
        <w:tc>
          <w:tcPr>
            <w:tcW w:w="1258" w:type="dxa"/>
            <w:tcBorders>
              <w:top w:val="nil"/>
              <w:left w:val="nil"/>
              <w:bottom w:val="single" w:sz="8" w:space="0" w:color="00000A"/>
              <w:right w:val="single" w:sz="8" w:space="0" w:color="00000A"/>
            </w:tcBorders>
            <w:shd w:val="clear" w:color="auto" w:fill="auto"/>
            <w:vAlign w:val="center"/>
            <w:hideMark/>
          </w:tcPr>
          <w:p w14:paraId="58151A13"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2° semestre</w:t>
            </w:r>
          </w:p>
        </w:tc>
        <w:tc>
          <w:tcPr>
            <w:tcW w:w="1258" w:type="dxa"/>
            <w:tcBorders>
              <w:top w:val="nil"/>
              <w:left w:val="nil"/>
              <w:bottom w:val="single" w:sz="8" w:space="0" w:color="00000A"/>
              <w:right w:val="single" w:sz="8" w:space="0" w:color="00000A"/>
            </w:tcBorders>
            <w:shd w:val="clear" w:color="auto" w:fill="auto"/>
            <w:vAlign w:val="center"/>
            <w:hideMark/>
          </w:tcPr>
          <w:p w14:paraId="3C96262A"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1° semestre</w:t>
            </w:r>
          </w:p>
        </w:tc>
        <w:tc>
          <w:tcPr>
            <w:tcW w:w="1258" w:type="dxa"/>
            <w:tcBorders>
              <w:top w:val="nil"/>
              <w:left w:val="nil"/>
              <w:bottom w:val="single" w:sz="8" w:space="0" w:color="00000A"/>
              <w:right w:val="single" w:sz="8" w:space="0" w:color="00000A"/>
            </w:tcBorders>
            <w:shd w:val="clear" w:color="auto" w:fill="auto"/>
            <w:vAlign w:val="center"/>
            <w:hideMark/>
          </w:tcPr>
          <w:p w14:paraId="6742FC3C"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2° semestre</w:t>
            </w:r>
          </w:p>
        </w:tc>
        <w:tc>
          <w:tcPr>
            <w:tcW w:w="1258" w:type="dxa"/>
            <w:tcBorders>
              <w:top w:val="nil"/>
              <w:left w:val="nil"/>
              <w:bottom w:val="single" w:sz="8" w:space="0" w:color="00000A"/>
              <w:right w:val="single" w:sz="8" w:space="0" w:color="00000A"/>
            </w:tcBorders>
            <w:shd w:val="clear" w:color="auto" w:fill="auto"/>
            <w:vAlign w:val="center"/>
            <w:hideMark/>
          </w:tcPr>
          <w:p w14:paraId="0FD387FB"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1° semestre</w:t>
            </w:r>
          </w:p>
        </w:tc>
        <w:tc>
          <w:tcPr>
            <w:tcW w:w="1259" w:type="dxa"/>
            <w:tcBorders>
              <w:top w:val="nil"/>
              <w:left w:val="nil"/>
              <w:bottom w:val="single" w:sz="8" w:space="0" w:color="00000A"/>
              <w:right w:val="single" w:sz="8" w:space="0" w:color="00000A"/>
            </w:tcBorders>
            <w:shd w:val="clear" w:color="auto" w:fill="auto"/>
            <w:vAlign w:val="center"/>
            <w:hideMark/>
          </w:tcPr>
          <w:p w14:paraId="4114572A" w14:textId="77777777" w:rsidR="00BB3DE8" w:rsidRPr="004034A6" w:rsidRDefault="00BB3DE8" w:rsidP="00882C8A">
            <w:pPr>
              <w:spacing w:after="0" w:line="240" w:lineRule="auto"/>
              <w:jc w:val="center"/>
              <w:rPr>
                <w:rFonts w:ascii="Calibri" w:eastAsia="Times New Roman" w:hAnsi="Calibri" w:cs="Calibri"/>
                <w:b/>
                <w:bCs/>
                <w:kern w:val="0"/>
                <w:sz w:val="16"/>
                <w:szCs w:val="16"/>
                <w:lang w:eastAsia="it-IT"/>
                <w14:ligatures w14:val="none"/>
              </w:rPr>
            </w:pPr>
            <w:r w:rsidRPr="004034A6">
              <w:rPr>
                <w:rFonts w:ascii="Calibri" w:eastAsia="Times New Roman" w:hAnsi="Calibri" w:cs="Cordia New"/>
                <w:b/>
                <w:bCs/>
                <w:kern w:val="0"/>
                <w:sz w:val="16"/>
                <w:szCs w:val="16"/>
                <w:lang w:eastAsia="it-IT"/>
                <w14:ligatures w14:val="none"/>
              </w:rPr>
              <w:t>2° semestre</w:t>
            </w:r>
          </w:p>
        </w:tc>
      </w:tr>
      <w:tr w:rsidR="00385D72" w:rsidRPr="004034A6" w14:paraId="6FBFEA14" w14:textId="77777777" w:rsidTr="00882C8A">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4E127820" w14:textId="77777777"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r w:rsidRPr="004034A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tcPr>
          <w:p w14:paraId="359741BC" w14:textId="42C4468A"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p>
        </w:tc>
        <w:tc>
          <w:tcPr>
            <w:tcW w:w="1258" w:type="dxa"/>
            <w:tcBorders>
              <w:top w:val="nil"/>
              <w:left w:val="nil"/>
              <w:bottom w:val="single" w:sz="8" w:space="0" w:color="00000A"/>
              <w:right w:val="single" w:sz="8" w:space="0" w:color="00000A"/>
            </w:tcBorders>
            <w:shd w:val="clear" w:color="auto" w:fill="auto"/>
            <w:vAlign w:val="center"/>
            <w:hideMark/>
          </w:tcPr>
          <w:p w14:paraId="06C1A889" w14:textId="0F035F0B"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r w:rsidRPr="004034A6">
              <w:rPr>
                <w:rFonts w:ascii="Calibri" w:eastAsia="Times New Roman" w:hAnsi="Calibri" w:cs="Cordia New"/>
                <w:i/>
                <w:iCs/>
                <w:kern w:val="0"/>
                <w:sz w:val="16"/>
                <w:szCs w:val="16"/>
                <w:lang w:eastAsia="it-IT"/>
                <w14:ligatures w14:val="none"/>
              </w:rPr>
              <w:t>€ 150.000</w:t>
            </w:r>
          </w:p>
        </w:tc>
        <w:tc>
          <w:tcPr>
            <w:tcW w:w="1258" w:type="dxa"/>
            <w:tcBorders>
              <w:top w:val="nil"/>
              <w:left w:val="nil"/>
              <w:bottom w:val="single" w:sz="8" w:space="0" w:color="00000A"/>
              <w:right w:val="single" w:sz="8" w:space="0" w:color="00000A"/>
            </w:tcBorders>
            <w:shd w:val="clear" w:color="auto" w:fill="auto"/>
            <w:vAlign w:val="center"/>
            <w:hideMark/>
          </w:tcPr>
          <w:p w14:paraId="4E6B3E13" w14:textId="3E818809"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r w:rsidRPr="004034A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0339427C" w14:textId="0E21A428"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r w:rsidRPr="004034A6">
              <w:rPr>
                <w:rFonts w:ascii="Calibri" w:eastAsia="Times New Roman" w:hAnsi="Calibri" w:cs="Cordia New"/>
                <w:i/>
                <w:iCs/>
                <w:kern w:val="0"/>
                <w:sz w:val="16"/>
                <w:szCs w:val="16"/>
                <w:lang w:eastAsia="it-IT"/>
                <w14:ligatures w14:val="none"/>
              </w:rPr>
              <w:t>€ 60.000 (*)</w:t>
            </w:r>
          </w:p>
        </w:tc>
        <w:tc>
          <w:tcPr>
            <w:tcW w:w="1258" w:type="dxa"/>
            <w:tcBorders>
              <w:top w:val="nil"/>
              <w:left w:val="nil"/>
              <w:bottom w:val="single" w:sz="8" w:space="0" w:color="00000A"/>
              <w:right w:val="single" w:sz="8" w:space="0" w:color="00000A"/>
            </w:tcBorders>
            <w:shd w:val="clear" w:color="auto" w:fill="auto"/>
            <w:vAlign w:val="center"/>
            <w:hideMark/>
          </w:tcPr>
          <w:p w14:paraId="46B851E2" w14:textId="77777777"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r w:rsidRPr="004034A6">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282A25D8" w14:textId="77777777"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r w:rsidRPr="004034A6">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73FA98AC" w14:textId="77777777" w:rsidR="00054E6F" w:rsidRPr="004034A6" w:rsidRDefault="00054E6F" w:rsidP="00054E6F">
            <w:pPr>
              <w:spacing w:after="0" w:line="240" w:lineRule="auto"/>
              <w:jc w:val="center"/>
              <w:rPr>
                <w:rFonts w:ascii="Calibri" w:eastAsia="Times New Roman" w:hAnsi="Calibri" w:cs="Calibri"/>
                <w:i/>
                <w:iCs/>
                <w:kern w:val="0"/>
                <w:sz w:val="16"/>
                <w:szCs w:val="16"/>
                <w:lang w:eastAsia="it-IT"/>
                <w14:ligatures w14:val="none"/>
              </w:rPr>
            </w:pPr>
            <w:r w:rsidRPr="004034A6">
              <w:rPr>
                <w:rFonts w:ascii="Calibri" w:eastAsia="Times New Roman" w:hAnsi="Calibri" w:cs="Cordia New"/>
                <w:i/>
                <w:iCs/>
                <w:kern w:val="0"/>
                <w:sz w:val="16"/>
                <w:szCs w:val="16"/>
                <w:lang w:eastAsia="it-IT"/>
                <w14:ligatures w14:val="none"/>
              </w:rPr>
              <w:t>€</w:t>
            </w:r>
          </w:p>
        </w:tc>
      </w:tr>
    </w:tbl>
    <w:p w14:paraId="4E1396F8" w14:textId="77777777" w:rsidR="00BB3DE8" w:rsidRPr="004034A6" w:rsidRDefault="00BB3DE8" w:rsidP="00BB3DE8">
      <w:pPr>
        <w:suppressAutoHyphens/>
        <w:spacing w:after="0" w:line="240" w:lineRule="auto"/>
        <w:rPr>
          <w:rFonts w:ascii="Calibri" w:eastAsia="Droid Sans Fallback" w:hAnsi="Calibri" w:cs="Cordia New"/>
          <w:bCs/>
          <w:kern w:val="0"/>
          <w:sz w:val="18"/>
          <w:szCs w:val="18"/>
          <w14:ligatures w14:val="none"/>
        </w:rPr>
      </w:pPr>
      <w:r w:rsidRPr="004034A6">
        <w:rPr>
          <w:rFonts w:ascii="Calibri" w:eastAsia="Droid Sans Fallback" w:hAnsi="Calibri" w:cs="Cordia New"/>
          <w:bCs/>
          <w:kern w:val="0"/>
          <w:sz w:val="18"/>
          <w:szCs w:val="18"/>
          <w14:ligatures w14:val="none"/>
        </w:rPr>
        <w:t>(*) quota riservata a interventi finanziati nell’ambito di progetti di cooperazione di cui alla scheda d’intervento SRG07</w:t>
      </w:r>
    </w:p>
    <w:p w14:paraId="4E0778B5" w14:textId="77777777" w:rsidR="00BB3DE8" w:rsidRPr="004034A6" w:rsidRDefault="00BB3DE8" w:rsidP="00BF0565">
      <w:pPr>
        <w:rPr>
          <w:rFonts w:cs="Cordia New"/>
          <w:b/>
          <w:caps/>
          <w:sz w:val="18"/>
          <w:szCs w:val="18"/>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206"/>
        <w:gridCol w:w="2977"/>
        <w:gridCol w:w="1701"/>
        <w:gridCol w:w="1843"/>
      </w:tblGrid>
      <w:tr w:rsidR="007320EB" w:rsidRPr="004034A6" w14:paraId="28449C50" w14:textId="77777777" w:rsidTr="006B3EE0">
        <w:trPr>
          <w:trHeight w:val="260"/>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97C84B" w14:textId="77777777" w:rsidR="007320EB" w:rsidRPr="004034A6" w:rsidRDefault="007320EB" w:rsidP="007320EB">
            <w:pPr>
              <w:suppressAutoHyphens/>
              <w:spacing w:after="0" w:line="240" w:lineRule="auto"/>
              <w:rPr>
                <w:rFonts w:ascii="Calibri" w:eastAsia="Droid Sans Fallback" w:hAnsi="Calibri" w:cs="Cordia New"/>
                <w:b/>
                <w:caps/>
                <w:color w:val="000000"/>
                <w:kern w:val="0"/>
                <w:sz w:val="18"/>
                <w:szCs w:val="18"/>
                <w14:ligatures w14:val="none"/>
              </w:rPr>
            </w:pPr>
            <w:bookmarkStart w:id="1" w:name="_Hlk155708434"/>
            <w:r w:rsidRPr="004034A6">
              <w:rPr>
                <w:rFonts w:ascii="Calibri" w:eastAsia="Droid Sans Fallback" w:hAnsi="Calibri" w:cs="Cordia New"/>
                <w:b/>
                <w:caps/>
                <w:color w:val="000000"/>
                <w:kern w:val="0"/>
                <w:sz w:val="18"/>
                <w:szCs w:val="18"/>
                <w14:ligatures w14:val="none"/>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EBCF1F" w14:textId="77777777" w:rsidR="007320EB" w:rsidRPr="004034A6" w:rsidRDefault="007320EB" w:rsidP="007320EB">
            <w:pPr>
              <w:suppressAutoHyphens/>
              <w:spacing w:after="0" w:line="240" w:lineRule="auto"/>
              <w:jc w:val="center"/>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Nome indicatore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75A511" w14:textId="77777777" w:rsidR="007320EB" w:rsidRPr="004034A6" w:rsidRDefault="007320EB" w:rsidP="007320EB">
            <w:pPr>
              <w:suppressAutoHyphens/>
              <w:spacing w:after="0" w:line="240" w:lineRule="auto"/>
              <w:jc w:val="center"/>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U. 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4A379F" w14:textId="780A0F8C" w:rsidR="007320EB" w:rsidRPr="004034A6" w:rsidRDefault="007320EB" w:rsidP="007320EB">
            <w:pPr>
              <w:suppressAutoHyphens/>
              <w:spacing w:after="0" w:line="240" w:lineRule="auto"/>
              <w:jc w:val="center"/>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Valore atteso al 202</w:t>
            </w:r>
            <w:r w:rsidR="00D95F1A" w:rsidRPr="004034A6">
              <w:rPr>
                <w:rFonts w:ascii="Calibri" w:eastAsia="Droid Sans Fallback" w:hAnsi="Calibri" w:cs="Cordia New"/>
                <w:b/>
                <w:kern w:val="0"/>
                <w:sz w:val="18"/>
                <w:szCs w:val="18"/>
                <w14:ligatures w14:val="none"/>
              </w:rPr>
              <w:t>7</w:t>
            </w:r>
          </w:p>
        </w:tc>
      </w:tr>
      <w:tr w:rsidR="00832BD6" w:rsidRPr="004034A6" w14:paraId="5D87D628"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2D82D3" w14:textId="77777777" w:rsidR="00832BD6" w:rsidRPr="004034A6" w:rsidRDefault="00832BD6"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C00C9B8" w14:textId="77777777" w:rsidR="00832BD6" w:rsidRPr="004034A6" w:rsidRDefault="00832BD6" w:rsidP="007320EB">
            <w:pPr>
              <w:suppressAutoHyphens/>
              <w:spacing w:after="0" w:line="240" w:lineRule="auto"/>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INDICATORI DI RISULTATO</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D13BC4" w14:textId="77777777" w:rsidR="00A2518F" w:rsidRPr="004034A6" w:rsidRDefault="00832BD6" w:rsidP="00A2518F">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Spesa pubblica totale</w:t>
            </w:r>
          </w:p>
          <w:p w14:paraId="5547756E" w14:textId="2D650143" w:rsidR="00832BD6" w:rsidRPr="004034A6" w:rsidRDefault="00A2518F" w:rsidP="00A2518F">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Come indicatore SSL 5</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0D1C8" w14:textId="77777777" w:rsidR="00832BD6" w:rsidRPr="004034A6"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2CB0CF" w14:textId="2FAAC82D" w:rsidR="00832BD6" w:rsidRPr="004034A6" w:rsidRDefault="00A2518F"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210.000</w:t>
            </w:r>
          </w:p>
        </w:tc>
      </w:tr>
      <w:tr w:rsidR="00832BD6" w:rsidRPr="004034A6" w14:paraId="5B33AEF8" w14:textId="77777777" w:rsidTr="00A2518F">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2F9805" w14:textId="77777777" w:rsidR="00832BD6" w:rsidRPr="004034A6" w:rsidRDefault="00832BD6"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1FE7C957" w14:textId="77777777" w:rsidR="00832BD6" w:rsidRPr="004034A6" w:rsidRDefault="00832BD6"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23DA10" w14:textId="77777777" w:rsidR="00832BD6" w:rsidRPr="004034A6"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Investimenti totali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7147EA" w14:textId="77777777" w:rsidR="00832BD6" w:rsidRPr="004034A6"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E0CD60" w14:textId="15C3214A" w:rsidR="00832BD6" w:rsidRPr="004034A6" w:rsidRDefault="00A2518F"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Non coerente</w:t>
            </w:r>
          </w:p>
        </w:tc>
      </w:tr>
      <w:tr w:rsidR="00832BD6" w:rsidRPr="004034A6" w14:paraId="1073D063"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CC4ACA" w14:textId="77777777" w:rsidR="00832BD6" w:rsidRPr="004034A6" w:rsidRDefault="00832BD6"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005E1A67" w14:textId="77777777" w:rsidR="00832BD6" w:rsidRPr="004034A6" w:rsidRDefault="00832BD6"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278DED" w14:textId="72322246" w:rsidR="00832BD6" w:rsidRPr="004034A6" w:rsidRDefault="00CC480B" w:rsidP="00CC480B">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Numero di nuovi agricoltori che ricevono un sostegno all'insediamento (diversi dai giovani agricoltori</w:t>
            </w:r>
            <w:r w:rsidR="002A2BF9" w:rsidRPr="004034A6">
              <w:rPr>
                <w:rFonts w:ascii="Calibri" w:eastAsia="Droid Sans Fallback" w:hAnsi="Calibri" w:cs="Cordia New"/>
                <w:i/>
                <w:color w:val="00000A"/>
                <w:kern w:val="0"/>
                <w:sz w:val="18"/>
                <w:szCs w:val="18"/>
                <w14:ligatures w14:val="none"/>
              </w:rPr>
              <w:t xml:space="preserve"> che beneficiano del contributo SRE01</w:t>
            </w:r>
            <w:r w:rsidRPr="004034A6">
              <w:rPr>
                <w:rFonts w:ascii="Calibri" w:eastAsia="Droid Sans Fallback" w:hAnsi="Calibri" w:cs="Cordia New"/>
                <w:i/>
                <w:color w:val="00000A"/>
                <w:kern w:val="0"/>
                <w:sz w:val="18"/>
                <w:szCs w:val="18"/>
                <w14:ligatures w14:val="none"/>
              </w:rPr>
              <w:t>)</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7C92E4" w14:textId="77777777" w:rsidR="00832BD6" w:rsidRPr="004034A6"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1C3B" w14:textId="0C964B6D" w:rsidR="00832BD6" w:rsidRPr="004034A6" w:rsidRDefault="00A2518F"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Non coerente</w:t>
            </w:r>
          </w:p>
        </w:tc>
      </w:tr>
      <w:tr w:rsidR="00832BD6" w:rsidRPr="004034A6" w14:paraId="5F31BF5F"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0E2E58" w14:textId="77777777" w:rsidR="00832BD6" w:rsidRPr="004034A6" w:rsidRDefault="00832BD6"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2914D1A4" w14:textId="77777777" w:rsidR="00832BD6" w:rsidRPr="004034A6" w:rsidRDefault="00832BD6"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A26B62" w14:textId="17DB9073" w:rsidR="00832BD6" w:rsidRPr="004034A6" w:rsidRDefault="00FD7E1E" w:rsidP="00832BD6">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Numero di aziende agricole rurali, incluse le imprese della bioeconomia, create con il sostegno della PAC</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FE42E7" w14:textId="2EC24FAD" w:rsidR="00832BD6" w:rsidRPr="004034A6" w:rsidRDefault="006B3EE0" w:rsidP="007320EB">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596983" w14:textId="1DCF83F1" w:rsidR="00832BD6" w:rsidRPr="004034A6" w:rsidRDefault="00A2518F"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Non coerente</w:t>
            </w:r>
          </w:p>
        </w:tc>
      </w:tr>
      <w:tr w:rsidR="00BB3DE8" w:rsidRPr="004034A6" w14:paraId="49EB7CAB"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79839"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E78E15"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Indicatori SSL</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42B17E" w14:textId="52DA6E0F"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r w:rsidRPr="004034A6">
              <w:rPr>
                <w:rFonts w:ascii="Calibri" w:eastAsia="Droid Sans Fallback" w:hAnsi="Calibri" w:cs="Cordia New"/>
                <w:i/>
                <w:color w:val="00000A"/>
                <w:kern w:val="0"/>
                <w:sz w:val="18"/>
                <w:szCs w:val="18"/>
                <w14:ligatures w14:val="none"/>
              </w:rPr>
              <w:t>1 – Interventi finanziati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9FFDFA" w14:textId="20BD2039" w:rsidR="00BB3DE8" w:rsidRPr="004034A6" w:rsidRDefault="00BB3DE8" w:rsidP="00BB3DE8">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DF1312" w14:textId="6DE0586B" w:rsidR="00BB3DE8" w:rsidRPr="004034A6" w:rsidRDefault="00BB3DE8"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7</w:t>
            </w:r>
          </w:p>
        </w:tc>
      </w:tr>
      <w:tr w:rsidR="00BB3DE8" w:rsidRPr="004034A6" w14:paraId="462CE549"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B15F22"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9B9809"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244E56" w14:textId="52EEAB44"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r w:rsidRPr="004034A6">
              <w:rPr>
                <w:rFonts w:ascii="Calibri" w:eastAsia="Droid Sans Fallback" w:hAnsi="Calibri" w:cs="Cordia New"/>
                <w:i/>
                <w:color w:val="00000A"/>
                <w:kern w:val="0"/>
                <w:sz w:val="18"/>
                <w:szCs w:val="18"/>
                <w14:ligatures w14:val="none"/>
              </w:rPr>
              <w:t>2 – Interventi finanziati in progetti di cooperazione locale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DE1482" w14:textId="292D25DF" w:rsidR="00BB3DE8" w:rsidRPr="004034A6" w:rsidRDefault="00BB3DE8" w:rsidP="00BB3DE8">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C57BD8" w14:textId="4E910FCB" w:rsidR="00BB3DE8" w:rsidRPr="004034A6" w:rsidRDefault="00BB3DE8"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2</w:t>
            </w:r>
          </w:p>
        </w:tc>
      </w:tr>
      <w:tr w:rsidR="00BB3DE8" w:rsidRPr="004034A6" w14:paraId="27008ACB"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64F6DD"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5F51DB"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D402AB" w14:textId="575F89D9"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r w:rsidRPr="004034A6">
              <w:rPr>
                <w:rFonts w:ascii="Calibri" w:eastAsia="Droid Sans Fallback" w:hAnsi="Calibri" w:cs="Cordia New"/>
                <w:i/>
                <w:color w:val="00000A"/>
                <w:kern w:val="0"/>
                <w:sz w:val="18"/>
                <w:szCs w:val="18"/>
                <w14:ligatures w14:val="none"/>
              </w:rPr>
              <w:t>3 – Iniziative imprenditoriali integrate ad altre iniziative in linea con la SSL</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77383B" w14:textId="50DA0C10" w:rsidR="00BB3DE8" w:rsidRPr="004034A6" w:rsidRDefault="00BB3DE8" w:rsidP="00BB3DE8">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B50EAA" w14:textId="1FE7C703" w:rsidR="00BB3DE8" w:rsidRPr="004034A6" w:rsidRDefault="00BB3DE8"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3</w:t>
            </w:r>
          </w:p>
        </w:tc>
      </w:tr>
      <w:tr w:rsidR="00BB3DE8" w:rsidRPr="004034A6" w14:paraId="0D050FBF"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1A91DF"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5B0B7B"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D41DA2" w14:textId="5684513C"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r w:rsidRPr="004034A6">
              <w:rPr>
                <w:rFonts w:ascii="Calibri" w:eastAsia="Droid Sans Fallback" w:hAnsi="Calibri" w:cs="Cordia New"/>
                <w:i/>
                <w:color w:val="00000A"/>
                <w:kern w:val="0"/>
                <w:sz w:val="18"/>
                <w:szCs w:val="18"/>
                <w14:ligatures w14:val="none"/>
              </w:rPr>
              <w:t>4 – Iniziative imprenditoriali legate alla valorizzazione delle risorse ambientali e alla sostenibilità ambientale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81D9A6" w14:textId="2D3B3F41" w:rsidR="00BB3DE8" w:rsidRPr="004034A6" w:rsidRDefault="00BB3DE8" w:rsidP="00BB3DE8">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876A47" w14:textId="3C19799D" w:rsidR="00BB3DE8" w:rsidRPr="004034A6" w:rsidRDefault="00BB3DE8"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3</w:t>
            </w:r>
          </w:p>
        </w:tc>
      </w:tr>
      <w:tr w:rsidR="00BB3DE8" w:rsidRPr="004034A6" w14:paraId="469B0046"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9BFB9"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7CCB90"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9A255D" w14:textId="60C6111E"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r w:rsidRPr="004034A6">
              <w:rPr>
                <w:rFonts w:ascii="Calibri" w:eastAsia="Droid Sans Fallback" w:hAnsi="Calibri" w:cs="Cordia New"/>
                <w:i/>
                <w:color w:val="00000A"/>
                <w:kern w:val="0"/>
                <w:sz w:val="18"/>
                <w:szCs w:val="18"/>
                <w14:ligatures w14:val="none"/>
              </w:rPr>
              <w:t>5 – Finanziario – contributo pubblico totale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98104A" w14:textId="0FD75182" w:rsidR="00BB3DE8" w:rsidRPr="004034A6" w:rsidRDefault="00BB3DE8" w:rsidP="00BB3DE8">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B5C6DE" w14:textId="6473C0B7" w:rsidR="00BB3DE8" w:rsidRPr="004034A6" w:rsidRDefault="00A2518F"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210.000</w:t>
            </w:r>
          </w:p>
        </w:tc>
      </w:tr>
      <w:tr w:rsidR="00BB3DE8" w:rsidRPr="004034A6" w14:paraId="45D7775A" w14:textId="77777777" w:rsidTr="00A2518F">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665E2A"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3737D7"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r w:rsidRPr="004034A6">
              <w:rPr>
                <w:rFonts w:ascii="Calibri" w:eastAsia="Droid Sans Fallback" w:hAnsi="Calibri" w:cs="Cordia New"/>
                <w:b/>
                <w:kern w:val="0"/>
                <w:sz w:val="18"/>
                <w:szCs w:val="18"/>
                <w14:ligatures w14:val="none"/>
              </w:rPr>
              <w:t>Indicatori ambientali*</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610FD" w14:textId="08815B7E" w:rsidR="00BB3DE8" w:rsidRPr="004034A6" w:rsidRDefault="00A2518F" w:rsidP="00BB3DE8">
            <w:pPr>
              <w:suppressAutoHyphens/>
              <w:spacing w:after="0" w:line="240" w:lineRule="auto"/>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Come da indicatore SSL 4</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A6AA99" w14:textId="447C3C48" w:rsidR="00BB3DE8" w:rsidRPr="004034A6" w:rsidRDefault="00A2518F" w:rsidP="00BB3DE8">
            <w:pPr>
              <w:suppressAutoHyphens/>
              <w:spacing w:after="0" w:line="240" w:lineRule="auto"/>
              <w:rPr>
                <w:rFonts w:ascii="Calibri" w:eastAsia="Droid Sans Fallback" w:hAnsi="Calibri" w:cs="Cordia New"/>
                <w:i/>
                <w:color w:val="538135"/>
                <w:kern w:val="0"/>
                <w:sz w:val="18"/>
                <w:szCs w:val="18"/>
                <w14:ligatures w14:val="none"/>
              </w:rPr>
            </w:pPr>
            <w:r w:rsidRPr="004034A6">
              <w:rPr>
                <w:rFonts w:ascii="Calibri" w:eastAsia="Droid Sans Fallback" w:hAnsi="Calibri" w:cs="Cordia New"/>
                <w:i/>
                <w:color w:val="538135"/>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EBB6FA" w14:textId="6D216A13" w:rsidR="00BB3DE8" w:rsidRPr="004034A6" w:rsidRDefault="00A2518F" w:rsidP="00A2518F">
            <w:pPr>
              <w:suppressAutoHyphens/>
              <w:spacing w:after="0" w:line="240" w:lineRule="auto"/>
              <w:jc w:val="center"/>
              <w:rPr>
                <w:rFonts w:ascii="Calibri" w:eastAsia="Droid Sans Fallback" w:hAnsi="Calibri" w:cs="Cordia New"/>
                <w:i/>
                <w:color w:val="00000A"/>
                <w:kern w:val="0"/>
                <w:sz w:val="18"/>
                <w:szCs w:val="18"/>
                <w14:ligatures w14:val="none"/>
              </w:rPr>
            </w:pPr>
            <w:r w:rsidRPr="004034A6">
              <w:rPr>
                <w:rFonts w:ascii="Calibri" w:eastAsia="Droid Sans Fallback" w:hAnsi="Calibri" w:cs="Cordia New"/>
                <w:i/>
                <w:color w:val="00000A"/>
                <w:kern w:val="0"/>
                <w:sz w:val="18"/>
                <w:szCs w:val="18"/>
                <w14:ligatures w14:val="none"/>
              </w:rPr>
              <w:t>3</w:t>
            </w:r>
          </w:p>
        </w:tc>
      </w:tr>
      <w:tr w:rsidR="00BB3DE8" w:rsidRPr="004034A6" w14:paraId="7A4688DE" w14:textId="77777777" w:rsidTr="006B3EE0">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0A8C10"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AC2FE3"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5C480" w14:textId="77777777"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401C58" w14:textId="77777777"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8C3E81" w14:textId="77777777"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p>
        </w:tc>
      </w:tr>
      <w:tr w:rsidR="00BB3DE8" w:rsidRPr="004034A6" w14:paraId="2892FB1D" w14:textId="77777777" w:rsidTr="006B3EE0">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FD9AB7"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25583D" w14:textId="77777777" w:rsidR="00BB3DE8" w:rsidRPr="004034A6" w:rsidRDefault="00BB3DE8" w:rsidP="00BB3DE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6FC71" w14:textId="77777777"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FF648C" w14:textId="77777777"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C1457A" w14:textId="77777777" w:rsidR="00BB3DE8" w:rsidRPr="004034A6" w:rsidRDefault="00BB3DE8" w:rsidP="00BB3DE8">
            <w:pPr>
              <w:suppressAutoHyphens/>
              <w:spacing w:after="0" w:line="240" w:lineRule="auto"/>
              <w:rPr>
                <w:rFonts w:ascii="Calibri" w:eastAsia="Droid Sans Fallback" w:hAnsi="Calibri" w:cs="Cordia New"/>
                <w:i/>
                <w:color w:val="538135"/>
                <w:kern w:val="0"/>
                <w:sz w:val="18"/>
                <w:szCs w:val="18"/>
                <w14:ligatures w14:val="none"/>
              </w:rPr>
            </w:pPr>
          </w:p>
        </w:tc>
      </w:tr>
      <w:tr w:rsidR="00BB3DE8" w:rsidRPr="004034A6" w14:paraId="14D5EBBC" w14:textId="77777777" w:rsidTr="006B3EE0">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B85E4E" w14:textId="77777777" w:rsidR="00BB3DE8" w:rsidRPr="004034A6" w:rsidRDefault="00BB3DE8" w:rsidP="00BB3DE8">
            <w:pPr>
              <w:suppressAutoHyphens/>
              <w:spacing w:after="0" w:line="240" w:lineRule="auto"/>
              <w:rPr>
                <w:rFonts w:ascii="Calibri" w:eastAsia="Droid Sans Fallback" w:hAnsi="Calibri" w:cs="Cordia New"/>
                <w:b/>
                <w:caps/>
                <w:kern w:val="0"/>
                <w:sz w:val="18"/>
                <w:szCs w:val="18"/>
                <w14:ligatures w14:val="none"/>
              </w:rPr>
            </w:pPr>
          </w:p>
        </w:tc>
        <w:tc>
          <w:tcPr>
            <w:tcW w:w="872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0696DA" w14:textId="77777777" w:rsidR="00BB3DE8" w:rsidRPr="004034A6" w:rsidRDefault="00BB3DE8" w:rsidP="00BB3DE8">
            <w:pPr>
              <w:suppressAutoHyphens/>
              <w:spacing w:after="0" w:line="240" w:lineRule="auto"/>
              <w:rPr>
                <w:rFonts w:ascii="Calibri" w:eastAsia="Droid Sans Fallback" w:hAnsi="Calibri" w:cs="Cordia New"/>
                <w:kern w:val="0"/>
                <w:sz w:val="18"/>
                <w:szCs w:val="18"/>
                <w14:ligatures w14:val="none"/>
              </w:rPr>
            </w:pPr>
            <w:r w:rsidRPr="004034A6">
              <w:rPr>
                <w:rFonts w:ascii="Calibri" w:eastAsia="Droid Sans Fallback" w:hAnsi="Calibri" w:cs="Cordia New"/>
                <w:kern w:val="0"/>
                <w:sz w:val="18"/>
                <w:szCs w:val="18"/>
                <w14:ligatures w14:val="none"/>
              </w:rPr>
              <w:t>* Da definire concordemente con l’Autorità Ambientale del Programma</w:t>
            </w:r>
          </w:p>
        </w:tc>
      </w:tr>
      <w:bookmarkEnd w:id="1"/>
    </w:tbl>
    <w:p w14:paraId="6DC14A29" w14:textId="77777777" w:rsidR="007320EB" w:rsidRPr="004034A6" w:rsidRDefault="007320EB" w:rsidP="007320EB">
      <w:pPr>
        <w:suppressAutoHyphens/>
        <w:spacing w:after="0" w:line="240" w:lineRule="auto"/>
        <w:rPr>
          <w:rFonts w:ascii="Calibri" w:eastAsia="Droid Sans Fallback" w:hAnsi="Calibri" w:cs="Cordia New"/>
          <w:kern w:val="0"/>
          <w:sz w:val="18"/>
          <w:szCs w:val="18"/>
          <w14:ligatures w14:val="none"/>
        </w:rPr>
      </w:pPr>
    </w:p>
    <w:p w14:paraId="76F59180" w14:textId="77777777" w:rsidR="00385D72" w:rsidRPr="004034A6" w:rsidRDefault="00385D72" w:rsidP="007320EB">
      <w:pPr>
        <w:suppressAutoHyphens/>
        <w:spacing w:after="0" w:line="240" w:lineRule="auto"/>
        <w:rPr>
          <w:rFonts w:ascii="Calibri" w:eastAsia="Droid Sans Fallback" w:hAnsi="Calibri" w:cs="Cordia New"/>
          <w:kern w:val="0"/>
          <w:sz w:val="18"/>
          <w:szCs w:val="18"/>
          <w14:ligatures w14:val="none"/>
        </w:rPr>
      </w:pPr>
    </w:p>
    <w:p w14:paraId="4154BF8D" w14:textId="77777777" w:rsidR="006B3EE0" w:rsidRPr="004034A6" w:rsidRDefault="006B3EE0" w:rsidP="007320EB">
      <w:pPr>
        <w:rPr>
          <w:rFonts w:cs="Cordia New"/>
          <w:sz w:val="18"/>
          <w:szCs w:val="18"/>
        </w:rPr>
      </w:pPr>
    </w:p>
    <w:p w14:paraId="5C5C3E55" w14:textId="77777777" w:rsidR="006B3EE0" w:rsidRPr="004034A6" w:rsidRDefault="006B3EE0" w:rsidP="007320EB">
      <w:pPr>
        <w:rPr>
          <w:rFonts w:cs="Cordia New"/>
          <w:sz w:val="18"/>
          <w:szCs w:val="18"/>
        </w:rPr>
      </w:pPr>
    </w:p>
    <w:p w14:paraId="217CFE6A" w14:textId="77777777" w:rsidR="006B3EE0" w:rsidRPr="004034A6" w:rsidRDefault="006B3EE0" w:rsidP="007320EB">
      <w:pPr>
        <w:rPr>
          <w:rFonts w:cs="Cordia New"/>
          <w:sz w:val="18"/>
          <w:szCs w:val="18"/>
        </w:rPr>
      </w:pPr>
    </w:p>
    <w:p w14:paraId="3766BD89" w14:textId="77777777" w:rsidR="007320EB" w:rsidRPr="004034A6" w:rsidRDefault="007320EB" w:rsidP="007320EB">
      <w:pPr>
        <w:rPr>
          <w:rFonts w:cs="Cordia New"/>
          <w:sz w:val="18"/>
          <w:szCs w:val="18"/>
        </w:rPr>
      </w:pPr>
    </w:p>
    <w:p w14:paraId="1818CD0E" w14:textId="77777777" w:rsidR="00D50939" w:rsidRPr="004034A6" w:rsidRDefault="00D50939" w:rsidP="00061C1C">
      <w:pPr>
        <w:autoSpaceDE w:val="0"/>
        <w:autoSpaceDN w:val="0"/>
        <w:adjustRightInd w:val="0"/>
        <w:spacing w:after="0" w:line="240" w:lineRule="auto"/>
        <w:jc w:val="both"/>
      </w:pPr>
    </w:p>
    <w:p w14:paraId="47116795" w14:textId="77777777" w:rsidR="006B3EE0" w:rsidRPr="004034A6" w:rsidRDefault="006B3EE0" w:rsidP="00061C1C">
      <w:pPr>
        <w:autoSpaceDE w:val="0"/>
        <w:autoSpaceDN w:val="0"/>
        <w:adjustRightInd w:val="0"/>
        <w:spacing w:after="0" w:line="240" w:lineRule="auto"/>
        <w:jc w:val="both"/>
      </w:pPr>
    </w:p>
    <w:p w14:paraId="2D1A4240" w14:textId="77777777" w:rsidR="006B3EE0" w:rsidRPr="004034A6" w:rsidRDefault="006B3EE0" w:rsidP="00061C1C">
      <w:pPr>
        <w:autoSpaceDE w:val="0"/>
        <w:autoSpaceDN w:val="0"/>
        <w:adjustRightInd w:val="0"/>
        <w:spacing w:after="0" w:line="240" w:lineRule="auto"/>
        <w:jc w:val="both"/>
      </w:pPr>
    </w:p>
    <w:p w14:paraId="5171F8BC" w14:textId="77777777" w:rsidR="006B3EE0" w:rsidRPr="004034A6" w:rsidRDefault="006B3EE0" w:rsidP="00061C1C">
      <w:pPr>
        <w:autoSpaceDE w:val="0"/>
        <w:autoSpaceDN w:val="0"/>
        <w:adjustRightInd w:val="0"/>
        <w:spacing w:after="0" w:line="240" w:lineRule="auto"/>
        <w:jc w:val="both"/>
      </w:pPr>
    </w:p>
    <w:p w14:paraId="32566983" w14:textId="77777777" w:rsidR="006B3EE0" w:rsidRPr="004034A6" w:rsidRDefault="006B3EE0" w:rsidP="00061C1C">
      <w:pPr>
        <w:autoSpaceDE w:val="0"/>
        <w:autoSpaceDN w:val="0"/>
        <w:adjustRightInd w:val="0"/>
        <w:spacing w:after="0" w:line="240" w:lineRule="auto"/>
        <w:jc w:val="both"/>
      </w:pPr>
    </w:p>
    <w:p w14:paraId="6EE2E0A4" w14:textId="77777777" w:rsidR="006B3EE0" w:rsidRPr="004034A6" w:rsidRDefault="006B3EE0" w:rsidP="00061C1C">
      <w:pPr>
        <w:autoSpaceDE w:val="0"/>
        <w:autoSpaceDN w:val="0"/>
        <w:adjustRightInd w:val="0"/>
        <w:spacing w:after="0" w:line="240" w:lineRule="auto"/>
        <w:jc w:val="both"/>
      </w:pPr>
    </w:p>
    <w:p w14:paraId="39E04018" w14:textId="77777777" w:rsidR="006B3EE0" w:rsidRPr="004034A6" w:rsidRDefault="006B3EE0" w:rsidP="00061C1C">
      <w:pPr>
        <w:autoSpaceDE w:val="0"/>
        <w:autoSpaceDN w:val="0"/>
        <w:adjustRightInd w:val="0"/>
        <w:spacing w:after="0" w:line="240" w:lineRule="auto"/>
        <w:jc w:val="both"/>
      </w:pPr>
    </w:p>
    <w:p w14:paraId="1E6BAB61" w14:textId="77777777" w:rsidR="006B3EE0" w:rsidRPr="004034A6" w:rsidRDefault="006B3EE0" w:rsidP="00061C1C">
      <w:pPr>
        <w:autoSpaceDE w:val="0"/>
        <w:autoSpaceDN w:val="0"/>
        <w:adjustRightInd w:val="0"/>
        <w:spacing w:after="0" w:line="240" w:lineRule="auto"/>
        <w:jc w:val="both"/>
      </w:pPr>
    </w:p>
    <w:p w14:paraId="73E58B57" w14:textId="77777777" w:rsidR="006B3EE0" w:rsidRPr="004034A6" w:rsidRDefault="006B3EE0" w:rsidP="00061C1C">
      <w:pPr>
        <w:autoSpaceDE w:val="0"/>
        <w:autoSpaceDN w:val="0"/>
        <w:adjustRightInd w:val="0"/>
        <w:spacing w:after="0" w:line="240" w:lineRule="auto"/>
        <w:jc w:val="both"/>
      </w:pPr>
    </w:p>
    <w:p w14:paraId="79D96116" w14:textId="77777777" w:rsidR="006B3EE0" w:rsidRPr="004034A6" w:rsidRDefault="006B3EE0" w:rsidP="00061C1C">
      <w:pPr>
        <w:autoSpaceDE w:val="0"/>
        <w:autoSpaceDN w:val="0"/>
        <w:adjustRightInd w:val="0"/>
        <w:spacing w:after="0" w:line="240" w:lineRule="auto"/>
        <w:jc w:val="both"/>
      </w:pPr>
    </w:p>
    <w:p w14:paraId="5FDD5427" w14:textId="77777777" w:rsidR="006B3EE0" w:rsidRPr="004034A6" w:rsidRDefault="006B3EE0"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7D884370" w14:textId="236E7724" w:rsidR="00061C1C" w:rsidRPr="004034A6" w:rsidRDefault="00061C1C" w:rsidP="00AB7EAD">
      <w:pPr>
        <w:autoSpaceDE w:val="0"/>
        <w:autoSpaceDN w:val="0"/>
        <w:adjustRightInd w:val="0"/>
        <w:spacing w:after="0" w:line="240" w:lineRule="auto"/>
        <w:jc w:val="center"/>
        <w:rPr>
          <w:rFonts w:ascii="Calibri-Bold" w:hAnsi="Calibri-Bold" w:cs="Calibri-Bold"/>
          <w:b/>
          <w:bCs/>
          <w:color w:val="002060"/>
          <w:kern w:val="0"/>
          <w:sz w:val="18"/>
          <w:szCs w:val="18"/>
        </w:rPr>
      </w:pPr>
      <w:r w:rsidRPr="004034A6">
        <w:rPr>
          <w:rFonts w:ascii="Calibri-Bold" w:hAnsi="Calibri-Bold" w:cs="Calibri-Bold"/>
          <w:b/>
          <w:bCs/>
          <w:color w:val="002060"/>
          <w:kern w:val="0"/>
          <w:sz w:val="18"/>
          <w:szCs w:val="18"/>
        </w:rPr>
        <w:t>Allegato A</w:t>
      </w:r>
    </w:p>
    <w:p w14:paraId="1ED5F675" w14:textId="77777777" w:rsidR="00AB7EAD" w:rsidRPr="004034A6" w:rsidRDefault="00AB7EAD"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6F900A62" w14:textId="77777777" w:rsidR="00061C1C" w:rsidRPr="004034A6"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4034A6">
        <w:rPr>
          <w:rFonts w:ascii="Calibri-Bold" w:hAnsi="Calibri-Bold" w:cs="Calibri-Bold"/>
          <w:b/>
          <w:bCs/>
          <w:color w:val="002060"/>
          <w:kern w:val="0"/>
          <w:sz w:val="18"/>
          <w:szCs w:val="18"/>
        </w:rPr>
        <w:t>INFORMATIVA RELATIVA AL TRATTAMENTO DEI DATI PERSONALI</w:t>
      </w:r>
    </w:p>
    <w:p w14:paraId="03EB449F" w14:textId="77777777" w:rsidR="00061C1C" w:rsidRPr="004034A6"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4034A6">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4034A6"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4034A6"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4034A6">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4034A6"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4034A6">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4034A6"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4034A6"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4034A6">
        <w:rPr>
          <w:rFonts w:ascii="Calibri-Bold" w:hAnsi="Calibri-Bold" w:cs="Calibri-Bold"/>
          <w:b/>
          <w:bCs/>
          <w:color w:val="000000"/>
          <w:kern w:val="0"/>
          <w:sz w:val="18"/>
          <w:szCs w:val="18"/>
        </w:rPr>
        <w:t>1. Il Titolare del trattamento.</w:t>
      </w:r>
    </w:p>
    <w:p w14:paraId="19063BE1" w14:textId="77777777" w:rsidR="00061C1C" w:rsidRPr="004034A6"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4034A6">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4034A6"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4034A6"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4034A6">
        <w:rPr>
          <w:rFonts w:ascii="Calibri-Bold" w:hAnsi="Calibri-Bold" w:cs="Calibri-Bold"/>
          <w:b/>
          <w:bCs/>
          <w:color w:val="000000"/>
          <w:kern w:val="0"/>
          <w:sz w:val="18"/>
          <w:szCs w:val="18"/>
        </w:rPr>
        <w:t>2. Finalità e base giuridica del trattamento.</w:t>
      </w:r>
    </w:p>
    <w:p w14:paraId="6D978FA0" w14:textId="77777777" w:rsidR="00061C1C" w:rsidRPr="004034A6"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4034A6">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13FA7AED" w14:textId="77777777" w:rsidR="00061C1C" w:rsidRPr="004034A6"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4034A6" w14:paraId="7B045963" w14:textId="77777777" w:rsidTr="00C81588">
        <w:tc>
          <w:tcPr>
            <w:tcW w:w="3209" w:type="dxa"/>
          </w:tcPr>
          <w:p w14:paraId="0B4A9797" w14:textId="77777777" w:rsidR="00061C1C" w:rsidRPr="004034A6" w:rsidRDefault="00061C1C" w:rsidP="00C81588">
            <w:pPr>
              <w:autoSpaceDE w:val="0"/>
              <w:autoSpaceDN w:val="0"/>
              <w:adjustRightInd w:val="0"/>
              <w:jc w:val="center"/>
              <w:rPr>
                <w:rFonts w:ascii="Calibri-Bold" w:hAnsi="Calibri-Bold" w:cs="Calibri-Bold"/>
                <w:b/>
                <w:bCs/>
                <w:color w:val="000000"/>
                <w:kern w:val="0"/>
                <w:sz w:val="18"/>
                <w:szCs w:val="18"/>
              </w:rPr>
            </w:pPr>
            <w:r w:rsidRPr="004034A6">
              <w:rPr>
                <w:rFonts w:ascii="Calibri-Bold" w:hAnsi="Calibri-Bold" w:cs="Calibri-Bold"/>
                <w:b/>
                <w:bCs/>
                <w:color w:val="000000"/>
                <w:kern w:val="0"/>
                <w:sz w:val="18"/>
                <w:szCs w:val="18"/>
              </w:rPr>
              <w:t>Finalità</w:t>
            </w:r>
          </w:p>
        </w:tc>
        <w:tc>
          <w:tcPr>
            <w:tcW w:w="3209" w:type="dxa"/>
          </w:tcPr>
          <w:p w14:paraId="47A625E4" w14:textId="77777777" w:rsidR="00061C1C" w:rsidRPr="004034A6" w:rsidRDefault="00061C1C" w:rsidP="00C81588">
            <w:pPr>
              <w:autoSpaceDE w:val="0"/>
              <w:autoSpaceDN w:val="0"/>
              <w:adjustRightInd w:val="0"/>
              <w:jc w:val="center"/>
              <w:rPr>
                <w:rFonts w:ascii="Calibri-Bold" w:hAnsi="Calibri-Bold" w:cs="Calibri-Bold"/>
                <w:b/>
                <w:bCs/>
                <w:color w:val="000000"/>
                <w:kern w:val="0"/>
                <w:sz w:val="18"/>
                <w:szCs w:val="18"/>
              </w:rPr>
            </w:pPr>
            <w:r w:rsidRPr="004034A6">
              <w:rPr>
                <w:rFonts w:ascii="Calibri-Bold" w:hAnsi="Calibri-Bold" w:cs="Calibri-Bold"/>
                <w:b/>
                <w:bCs/>
                <w:color w:val="000000"/>
                <w:kern w:val="0"/>
                <w:sz w:val="18"/>
                <w:szCs w:val="18"/>
              </w:rPr>
              <w:t>Base giuridica</w:t>
            </w:r>
          </w:p>
        </w:tc>
        <w:tc>
          <w:tcPr>
            <w:tcW w:w="3210" w:type="dxa"/>
          </w:tcPr>
          <w:p w14:paraId="4C0871D8" w14:textId="77777777" w:rsidR="00061C1C" w:rsidRPr="004034A6" w:rsidRDefault="00061C1C" w:rsidP="00C81588">
            <w:pPr>
              <w:autoSpaceDE w:val="0"/>
              <w:autoSpaceDN w:val="0"/>
              <w:adjustRightInd w:val="0"/>
              <w:jc w:val="center"/>
              <w:rPr>
                <w:rFonts w:ascii="Calibri-Bold" w:hAnsi="Calibri-Bold" w:cs="Calibri-Bold"/>
                <w:b/>
                <w:bCs/>
                <w:color w:val="000000"/>
                <w:kern w:val="0"/>
                <w:sz w:val="18"/>
                <w:szCs w:val="18"/>
              </w:rPr>
            </w:pPr>
            <w:r w:rsidRPr="004034A6">
              <w:rPr>
                <w:rFonts w:ascii="Calibri-Bold" w:hAnsi="Calibri-Bold" w:cs="Calibri-Bold"/>
                <w:b/>
                <w:bCs/>
                <w:color w:val="000000"/>
                <w:kern w:val="0"/>
                <w:sz w:val="18"/>
                <w:szCs w:val="18"/>
              </w:rPr>
              <w:t>Categorie di dati personali</w:t>
            </w:r>
          </w:p>
        </w:tc>
      </w:tr>
      <w:tr w:rsidR="00061C1C" w:rsidRPr="00B82C5D" w14:paraId="04A05B68" w14:textId="77777777" w:rsidTr="00800C06">
        <w:tc>
          <w:tcPr>
            <w:tcW w:w="3209" w:type="dxa"/>
            <w:shd w:val="clear" w:color="auto" w:fill="auto"/>
          </w:tcPr>
          <w:p w14:paraId="70E616B6" w14:textId="60CCD969" w:rsidR="00061C1C" w:rsidRPr="004034A6" w:rsidRDefault="00360733" w:rsidP="00C81588">
            <w:pPr>
              <w:autoSpaceDE w:val="0"/>
              <w:autoSpaceDN w:val="0"/>
              <w:adjustRightInd w:val="0"/>
              <w:jc w:val="both"/>
              <w:rPr>
                <w:rFonts w:ascii="Calibri" w:hAnsi="Calibri" w:cs="Calibri"/>
                <w:kern w:val="0"/>
                <w:sz w:val="18"/>
                <w:szCs w:val="18"/>
              </w:rPr>
            </w:pPr>
            <w:r w:rsidRPr="004034A6">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460225C0" w14:textId="77777777" w:rsidR="00061C1C" w:rsidRPr="004034A6" w:rsidRDefault="00061C1C" w:rsidP="00C81588">
            <w:pPr>
              <w:autoSpaceDE w:val="0"/>
              <w:autoSpaceDN w:val="0"/>
              <w:adjustRightInd w:val="0"/>
              <w:jc w:val="both"/>
              <w:rPr>
                <w:rFonts w:ascii="Calibri" w:hAnsi="Calibri" w:cs="Calibri"/>
                <w:kern w:val="0"/>
                <w:sz w:val="18"/>
                <w:szCs w:val="18"/>
              </w:rPr>
            </w:pPr>
            <w:r w:rsidRPr="004034A6">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4034A6">
              <w:rPr>
                <w:rFonts w:ascii="Calibri" w:hAnsi="Calibri" w:cs="Calibri"/>
                <w:kern w:val="0"/>
                <w:sz w:val="18"/>
                <w:szCs w:val="18"/>
              </w:rPr>
              <w:t>lett</w:t>
            </w:r>
            <w:proofErr w:type="spellEnd"/>
            <w:r w:rsidRPr="004034A6">
              <w:rPr>
                <w:rFonts w:ascii="Calibri" w:hAnsi="Calibri" w:cs="Calibri"/>
                <w:kern w:val="0"/>
                <w:sz w:val="18"/>
                <w:szCs w:val="18"/>
              </w:rPr>
              <w:t xml:space="preserve"> e) GDPR nonché dell’art. 2 ter del </w:t>
            </w:r>
            <w:proofErr w:type="spellStart"/>
            <w:r w:rsidRPr="004034A6">
              <w:rPr>
                <w:rFonts w:ascii="Calibri" w:hAnsi="Calibri" w:cs="Calibri"/>
                <w:kern w:val="0"/>
                <w:sz w:val="18"/>
                <w:szCs w:val="18"/>
              </w:rPr>
              <w:t>D.lgs</w:t>
            </w:r>
            <w:proofErr w:type="spellEnd"/>
            <w:r w:rsidRPr="004034A6">
              <w:rPr>
                <w:rFonts w:ascii="Calibri" w:hAnsi="Calibri" w:cs="Calibri"/>
                <w:kern w:val="0"/>
                <w:sz w:val="18"/>
                <w:szCs w:val="18"/>
              </w:rPr>
              <w:t xml:space="preserve"> 196/2003; </w:t>
            </w:r>
          </w:p>
          <w:p w14:paraId="5B6F044D" w14:textId="77777777" w:rsidR="00061C1C" w:rsidRPr="004034A6"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4034A6" w:rsidRDefault="00061C1C" w:rsidP="00C81588">
            <w:pPr>
              <w:autoSpaceDE w:val="0"/>
              <w:autoSpaceDN w:val="0"/>
              <w:adjustRightInd w:val="0"/>
              <w:jc w:val="both"/>
              <w:rPr>
                <w:rFonts w:ascii="Calibri" w:hAnsi="Calibri" w:cs="Calibri"/>
                <w:kern w:val="0"/>
                <w:sz w:val="18"/>
                <w:szCs w:val="18"/>
              </w:rPr>
            </w:pPr>
            <w:r w:rsidRPr="004034A6">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4034A6" w:rsidRDefault="00061C1C" w:rsidP="00C81588">
            <w:pPr>
              <w:autoSpaceDE w:val="0"/>
              <w:autoSpaceDN w:val="0"/>
              <w:adjustRightInd w:val="0"/>
              <w:jc w:val="both"/>
              <w:rPr>
                <w:rFonts w:ascii="Calibri" w:hAnsi="Calibri" w:cs="Calibri"/>
                <w:kern w:val="0"/>
                <w:sz w:val="18"/>
                <w:szCs w:val="18"/>
              </w:rPr>
            </w:pPr>
            <w:r w:rsidRPr="004034A6">
              <w:rPr>
                <w:rFonts w:ascii="Calibri" w:hAnsi="Calibri" w:cs="Calibri"/>
                <w:kern w:val="0"/>
                <w:sz w:val="18"/>
                <w:szCs w:val="18"/>
              </w:rPr>
              <w:t>(FEASR) e che abroga i regolamenti (UE) n. 1305/2013 e (UE) n. 1307/2013;</w:t>
            </w:r>
          </w:p>
          <w:p w14:paraId="07E0254D" w14:textId="77777777" w:rsidR="00061C1C" w:rsidRPr="004034A6" w:rsidRDefault="00061C1C" w:rsidP="00C81588">
            <w:pPr>
              <w:autoSpaceDE w:val="0"/>
              <w:autoSpaceDN w:val="0"/>
              <w:adjustRightInd w:val="0"/>
              <w:jc w:val="both"/>
              <w:rPr>
                <w:rFonts w:ascii="TimesNewRomanPSMT" w:hAnsi="TimesNewRomanPSMT" w:cs="TimesNewRomanPSMT"/>
                <w:kern w:val="0"/>
                <w:sz w:val="18"/>
                <w:szCs w:val="18"/>
              </w:rPr>
            </w:pPr>
          </w:p>
          <w:p w14:paraId="4A782FB6" w14:textId="77777777" w:rsidR="00061C1C" w:rsidRPr="004034A6" w:rsidRDefault="00061C1C" w:rsidP="00C81588">
            <w:pPr>
              <w:autoSpaceDE w:val="0"/>
              <w:autoSpaceDN w:val="0"/>
              <w:adjustRightInd w:val="0"/>
              <w:jc w:val="both"/>
              <w:rPr>
                <w:rFonts w:ascii="Calibri" w:hAnsi="Calibri" w:cs="Calibri"/>
                <w:kern w:val="0"/>
                <w:sz w:val="18"/>
                <w:szCs w:val="18"/>
              </w:rPr>
            </w:pPr>
            <w:r w:rsidRPr="004034A6">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4034A6">
              <w:rPr>
                <w:rFonts w:ascii="Calibri" w:hAnsi="Calibri" w:cs="Calibri"/>
                <w:kern w:val="0"/>
                <w:sz w:val="18"/>
                <w:szCs w:val="18"/>
              </w:rPr>
              <w:t>s.m.i.</w:t>
            </w:r>
            <w:proofErr w:type="spellEnd"/>
            <w:r w:rsidRPr="004034A6">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4034A6">
              <w:rPr>
                <w:rFonts w:ascii="Calibri" w:hAnsi="Calibri" w:cs="Calibri"/>
                <w:kern w:val="0"/>
                <w:sz w:val="18"/>
                <w:szCs w:val="18"/>
              </w:rPr>
              <w:t>s.m.i.</w:t>
            </w:r>
            <w:proofErr w:type="spellEnd"/>
          </w:p>
          <w:p w14:paraId="3D03A276" w14:textId="77777777" w:rsidR="001B2477" w:rsidRPr="004034A6" w:rsidRDefault="001B2477"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B82C5D" w:rsidRDefault="00061C1C" w:rsidP="00C81588">
            <w:pPr>
              <w:autoSpaceDE w:val="0"/>
              <w:autoSpaceDN w:val="0"/>
              <w:adjustRightInd w:val="0"/>
              <w:jc w:val="both"/>
              <w:rPr>
                <w:rFonts w:ascii="Calibri" w:hAnsi="Calibri" w:cs="Calibri"/>
                <w:kern w:val="0"/>
                <w:sz w:val="18"/>
                <w:szCs w:val="18"/>
              </w:rPr>
            </w:pPr>
            <w:r w:rsidRPr="004034A6">
              <w:rPr>
                <w:rFonts w:ascii="Calibri" w:hAnsi="Calibri" w:cs="Calibri"/>
                <w:kern w:val="0"/>
                <w:sz w:val="18"/>
                <w:szCs w:val="18"/>
              </w:rPr>
              <w:t xml:space="preserve">Dati personali comuni anagrafici (cognome e nome, ragione sociale, CUAA - codice fiscale); dati di contatto (indirizzo, telefono, </w:t>
            </w:r>
            <w:proofErr w:type="spellStart"/>
            <w:r w:rsidRPr="004034A6">
              <w:rPr>
                <w:rFonts w:ascii="Calibri" w:hAnsi="Calibri" w:cs="Calibri"/>
                <w:kern w:val="0"/>
                <w:sz w:val="18"/>
                <w:szCs w:val="18"/>
              </w:rPr>
              <w:t>pec</w:t>
            </w:r>
            <w:proofErr w:type="spellEnd"/>
            <w:r w:rsidRPr="004034A6">
              <w:rPr>
                <w:rFonts w:ascii="Calibri" w:hAnsi="Calibri" w:cs="Calibri"/>
                <w:kern w:val="0"/>
                <w:sz w:val="18"/>
                <w:szCs w:val="18"/>
              </w:rPr>
              <w:t>, indirizzo mail); dati identificativi di conti correnti (IBAN); percorso professionale.</w:t>
            </w:r>
            <w:r w:rsidRPr="00B82C5D">
              <w:rPr>
                <w:rFonts w:ascii="Calibri" w:hAnsi="Calibri" w:cs="Calibri"/>
                <w:kern w:val="0"/>
                <w:sz w:val="18"/>
                <w:szCs w:val="18"/>
              </w:rPr>
              <w:t xml:space="preserve"> </w:t>
            </w:r>
          </w:p>
          <w:p w14:paraId="704E3DA8" w14:textId="77777777" w:rsidR="00061C1C" w:rsidRPr="00B82C5D"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5. Comunicazione e diffusione a terzi di dati personali.</w:t>
      </w:r>
    </w:p>
    <w:p w14:paraId="0B6E2CC8"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01E6DCD1" w14:textId="77777777" w:rsidR="00061C1C" w:rsidRPr="00B82C5D" w:rsidRDefault="00061C1C" w:rsidP="00061C1C">
      <w:pPr>
        <w:pStyle w:val="Paragrafoelenco"/>
        <w:numPr>
          <w:ilvl w:val="0"/>
          <w:numId w:val="1"/>
        </w:numPr>
        <w:autoSpaceDE w:val="0"/>
        <w:autoSpaceDN w:val="0"/>
        <w:adjustRightInd w:val="0"/>
        <w:jc w:val="both"/>
        <w:rPr>
          <w:color w:val="000000"/>
          <w:sz w:val="18"/>
          <w:szCs w:val="18"/>
        </w:rPr>
      </w:pPr>
      <w:r w:rsidRPr="00B82C5D">
        <w:rPr>
          <w:color w:val="000000"/>
          <w:sz w:val="18"/>
          <w:szCs w:val="18"/>
        </w:rPr>
        <w:t>Provincia di Sondrio, per le istruttorie di propria competenza;</w:t>
      </w:r>
    </w:p>
    <w:p w14:paraId="10B1F0A8" w14:textId="77777777" w:rsidR="00061C1C" w:rsidRPr="00B82C5D" w:rsidRDefault="00061C1C" w:rsidP="00061C1C">
      <w:pPr>
        <w:pStyle w:val="Paragrafoelenco"/>
        <w:numPr>
          <w:ilvl w:val="0"/>
          <w:numId w:val="1"/>
        </w:numPr>
        <w:autoSpaceDE w:val="0"/>
        <w:autoSpaceDN w:val="0"/>
        <w:adjustRightInd w:val="0"/>
        <w:jc w:val="both"/>
        <w:rPr>
          <w:color w:val="000000"/>
          <w:sz w:val="18"/>
          <w:szCs w:val="18"/>
        </w:rPr>
      </w:pPr>
      <w:r w:rsidRPr="00B82C5D">
        <w:rPr>
          <w:color w:val="000000"/>
          <w:sz w:val="18"/>
          <w:szCs w:val="18"/>
        </w:rPr>
        <w:t>INPS, per il DURC;</w:t>
      </w:r>
    </w:p>
    <w:p w14:paraId="156A0F63" w14:textId="77777777" w:rsidR="00061C1C" w:rsidRPr="00B82C5D" w:rsidRDefault="00061C1C" w:rsidP="00061C1C">
      <w:pPr>
        <w:pStyle w:val="Paragrafoelenco"/>
        <w:numPr>
          <w:ilvl w:val="0"/>
          <w:numId w:val="1"/>
        </w:numPr>
        <w:autoSpaceDE w:val="0"/>
        <w:autoSpaceDN w:val="0"/>
        <w:adjustRightInd w:val="0"/>
        <w:jc w:val="both"/>
        <w:rPr>
          <w:color w:val="000000"/>
          <w:sz w:val="18"/>
          <w:szCs w:val="18"/>
        </w:rPr>
      </w:pPr>
      <w:r w:rsidRPr="00B82C5D">
        <w:rPr>
          <w:color w:val="000000"/>
          <w:sz w:val="18"/>
          <w:szCs w:val="18"/>
        </w:rPr>
        <w:t>Prefettura/Ministero Interno, per i controlli antimafia;</w:t>
      </w:r>
    </w:p>
    <w:p w14:paraId="20DD15D8" w14:textId="77777777" w:rsidR="00061C1C" w:rsidRPr="00B82C5D" w:rsidRDefault="00061C1C" w:rsidP="00061C1C">
      <w:pPr>
        <w:pStyle w:val="Paragrafoelenco"/>
        <w:numPr>
          <w:ilvl w:val="0"/>
          <w:numId w:val="1"/>
        </w:numPr>
        <w:autoSpaceDE w:val="0"/>
        <w:autoSpaceDN w:val="0"/>
        <w:adjustRightInd w:val="0"/>
        <w:jc w:val="both"/>
        <w:rPr>
          <w:color w:val="000000"/>
          <w:sz w:val="18"/>
          <w:szCs w:val="18"/>
        </w:rPr>
      </w:pPr>
      <w:r w:rsidRPr="00B82C5D">
        <w:rPr>
          <w:color w:val="000000"/>
          <w:sz w:val="18"/>
          <w:szCs w:val="18"/>
        </w:rPr>
        <w:t>Ministero dell’Agricoltura, Sovranità Alimentare e Foreste (MASAF) per monitoraggio avanzamento PAC 23‐27;</w:t>
      </w:r>
    </w:p>
    <w:p w14:paraId="5C9BC0E1"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Agenzia per le erogazioni in agricoltura (AGEA) per gli adempimenti in materia di aiuti di Stato (Sistema Informativo Agricolo Nazionale ‐ SIAN);</w:t>
      </w:r>
    </w:p>
    <w:p w14:paraId="5E436788"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Ministero dell’Economia e delle Finanze (MEF), per il monitoraggio unitario;</w:t>
      </w:r>
    </w:p>
    <w:p w14:paraId="5AE7A68B"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Dipartimento per la programmazione e il coordinamento della politica economica (DIPE), per il Codice Unico di Progetto (CUP);</w:t>
      </w:r>
    </w:p>
    <w:p w14:paraId="03ED100C"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Commissione Europea, per il monitoraggio avanzamento PAC 23‐27;</w:t>
      </w:r>
    </w:p>
    <w:p w14:paraId="388D3EE7"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Forze dell’ordine, per lo svolgimento dei controlli;</w:t>
      </w:r>
    </w:p>
    <w:p w14:paraId="1DB2F3A5"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Agenzia delle Entrate, per le visure catastali;</w:t>
      </w:r>
    </w:p>
    <w:p w14:paraId="7539BE9B"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Corte dei conti EU, per la verifica della regolarità della gestione finanziaria;</w:t>
      </w:r>
    </w:p>
    <w:p w14:paraId="38E6E505" w14:textId="77777777" w:rsidR="00061C1C" w:rsidRPr="00B82C5D" w:rsidRDefault="00061C1C" w:rsidP="00061C1C">
      <w:pPr>
        <w:pStyle w:val="Paragrafoelenco"/>
        <w:numPr>
          <w:ilvl w:val="0"/>
          <w:numId w:val="2"/>
        </w:numPr>
        <w:autoSpaceDE w:val="0"/>
        <w:autoSpaceDN w:val="0"/>
        <w:adjustRightInd w:val="0"/>
        <w:jc w:val="both"/>
        <w:rPr>
          <w:color w:val="000000"/>
          <w:sz w:val="18"/>
          <w:szCs w:val="18"/>
        </w:rPr>
      </w:pPr>
      <w:r w:rsidRPr="00B82C5D">
        <w:rPr>
          <w:color w:val="000000"/>
          <w:sz w:val="18"/>
          <w:szCs w:val="18"/>
        </w:rPr>
        <w:t>Corte dei conti Italia, per i controlli di contabilità pubblica.</w:t>
      </w:r>
    </w:p>
    <w:p w14:paraId="0CECBBC0" w14:textId="77777777" w:rsidR="00061C1C" w:rsidRPr="00B82C5D"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Il Titolare del trattamento ha nominato come Responsabili del trattamento:</w:t>
      </w:r>
    </w:p>
    <w:p w14:paraId="34A5C416"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ARIA S.p.A., per la gestione e manutenzione delle piattaforme EDMA, SISCO, SISPA e REGDEB;</w:t>
      </w:r>
    </w:p>
    <w:p w14:paraId="56605410"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E.R.S.A.F., per le attività di controllo degli interventi CSR;</w:t>
      </w:r>
    </w:p>
    <w:p w14:paraId="4885BC02"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Finlombarda S.p.A., per la gestione dello strumento finanziario;</w:t>
      </w:r>
    </w:p>
    <w:p w14:paraId="4D8A7C88"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Comunità montane, per le istruttorie relative agli interventi del CSR;</w:t>
      </w:r>
    </w:p>
    <w:p w14:paraId="54D84525"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Gruppi di Azione Locale (GAL), per l’attuazione delle Strategie di Sviluppo Locale;</w:t>
      </w:r>
    </w:p>
    <w:p w14:paraId="46A41227"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 Suoi dati personali non verranno trasferiti al di fuori dello Spazio Economico Europeo.</w:t>
      </w:r>
    </w:p>
    <w:p w14:paraId="1FF12921"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7. Tempi di conservazione.</w:t>
      </w:r>
    </w:p>
    <w:p w14:paraId="47250E93"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8. I diritti degli interessati.</w:t>
      </w:r>
    </w:p>
    <w:p w14:paraId="60359CD7"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Di seguito i diritti riconosciuti:</w:t>
      </w:r>
    </w:p>
    <w:p w14:paraId="782E7B8F" w14:textId="77777777" w:rsidR="00061C1C" w:rsidRPr="00B82C5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B82C5D">
        <w:rPr>
          <w:rFonts w:ascii="Calibri" w:hAnsi="Calibri" w:cs="Calibri"/>
          <w:color w:val="000000"/>
          <w:kern w:val="0"/>
          <w:sz w:val="18"/>
          <w:szCs w:val="18"/>
        </w:rPr>
        <w:t xml:space="preserve">• </w:t>
      </w:r>
      <w:r w:rsidRPr="00B82C5D">
        <w:rPr>
          <w:rFonts w:ascii="Calibri-Bold" w:hAnsi="Calibri-Bold" w:cs="Calibri-Bold"/>
          <w:b/>
          <w:bCs/>
          <w:color w:val="000000"/>
          <w:kern w:val="0"/>
          <w:sz w:val="18"/>
          <w:szCs w:val="18"/>
        </w:rPr>
        <w:t>Diritto di accesso (art. 15)</w:t>
      </w:r>
    </w:p>
    <w:p w14:paraId="2A4725D8" w14:textId="77777777" w:rsidR="00061C1C" w:rsidRPr="00B82C5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B82C5D">
        <w:rPr>
          <w:rFonts w:ascii="Calibri" w:hAnsi="Calibri" w:cs="Calibri"/>
          <w:color w:val="000000"/>
          <w:kern w:val="0"/>
          <w:sz w:val="18"/>
          <w:szCs w:val="18"/>
        </w:rPr>
        <w:t xml:space="preserve">• </w:t>
      </w:r>
      <w:r w:rsidRPr="00B82C5D">
        <w:rPr>
          <w:rFonts w:ascii="Calibri-Bold" w:hAnsi="Calibri-Bold" w:cs="Calibri-Bold"/>
          <w:b/>
          <w:bCs/>
          <w:color w:val="000000"/>
          <w:kern w:val="0"/>
          <w:sz w:val="18"/>
          <w:szCs w:val="18"/>
        </w:rPr>
        <w:t>Diritto alla rettifica (art. 16)</w:t>
      </w:r>
    </w:p>
    <w:p w14:paraId="0683A3EB" w14:textId="77777777" w:rsidR="00061C1C" w:rsidRPr="00B82C5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B82C5D">
        <w:rPr>
          <w:rFonts w:ascii="Calibri" w:hAnsi="Calibri" w:cs="Calibri"/>
          <w:color w:val="000000"/>
          <w:kern w:val="0"/>
          <w:sz w:val="18"/>
          <w:szCs w:val="18"/>
        </w:rPr>
        <w:t xml:space="preserve">• </w:t>
      </w:r>
      <w:r w:rsidRPr="00B82C5D">
        <w:rPr>
          <w:rFonts w:ascii="Calibri-Bold" w:hAnsi="Calibri-Bold" w:cs="Calibri-Bold"/>
          <w:b/>
          <w:bCs/>
          <w:color w:val="000000"/>
          <w:kern w:val="0"/>
          <w:sz w:val="18"/>
          <w:szCs w:val="18"/>
        </w:rPr>
        <w:t>Diritto alla limitazione del trattamento (art. 18)</w:t>
      </w:r>
    </w:p>
    <w:p w14:paraId="033416B0" w14:textId="77777777" w:rsidR="00061C1C" w:rsidRPr="00B82C5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B82C5D">
        <w:rPr>
          <w:rFonts w:ascii="Calibri" w:hAnsi="Calibri" w:cs="Calibri"/>
          <w:color w:val="000000"/>
          <w:kern w:val="0"/>
          <w:sz w:val="18"/>
          <w:szCs w:val="18"/>
        </w:rPr>
        <w:t xml:space="preserve">• </w:t>
      </w:r>
      <w:r w:rsidRPr="00B82C5D">
        <w:rPr>
          <w:rFonts w:ascii="Calibri-Bold" w:hAnsi="Calibri-Bold" w:cs="Calibri-Bold"/>
          <w:b/>
          <w:bCs/>
          <w:color w:val="000000"/>
          <w:kern w:val="0"/>
          <w:sz w:val="18"/>
          <w:szCs w:val="18"/>
        </w:rPr>
        <w:t>Diritto di opposizione (artt. 21 e 22)</w:t>
      </w:r>
    </w:p>
    <w:p w14:paraId="770CC4BE" w14:textId="77777777" w:rsidR="00C46962" w:rsidRPr="00B82C5D"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005706C7" w14:textId="01A6CCD5"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5EF7278D"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AB5308D"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9. Reclamo all’Autorità di controllo.</w:t>
      </w:r>
    </w:p>
    <w:p w14:paraId="24147361"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10. Il Responsabile della Protezione dei Dati.</w:t>
      </w:r>
    </w:p>
    <w:p w14:paraId="6A7E996B"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8" w:history="1">
        <w:r w:rsidRPr="00B82C5D">
          <w:rPr>
            <w:rStyle w:val="Collegamentoipertestuale"/>
            <w:rFonts w:ascii="Calibri" w:hAnsi="Calibri" w:cs="Calibri"/>
            <w:kern w:val="0"/>
            <w:sz w:val="18"/>
            <w:szCs w:val="18"/>
          </w:rPr>
          <w:t>rpd@regione.lombardia.it</w:t>
        </w:r>
      </w:hyperlink>
      <w:r w:rsidRPr="00B82C5D">
        <w:rPr>
          <w:rFonts w:ascii="Calibri" w:hAnsi="Calibri" w:cs="Calibri"/>
          <w:color w:val="000000"/>
          <w:kern w:val="0"/>
          <w:sz w:val="18"/>
          <w:szCs w:val="18"/>
        </w:rPr>
        <w:t>.</w:t>
      </w:r>
    </w:p>
    <w:p w14:paraId="15D088B9"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B82C5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B82C5D">
        <w:rPr>
          <w:rFonts w:ascii="Calibri-Bold" w:hAnsi="Calibri-Bold" w:cs="Calibri-Bold"/>
          <w:b/>
          <w:bCs/>
          <w:color w:val="000000"/>
          <w:kern w:val="0"/>
          <w:sz w:val="18"/>
          <w:szCs w:val="18"/>
        </w:rPr>
        <w:t>11. Modifiche.</w:t>
      </w:r>
    </w:p>
    <w:p w14:paraId="061DCDF5"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B82C5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14276BB" w14:textId="77777777" w:rsidR="00800C06" w:rsidRPr="00B82C5D" w:rsidRDefault="00800C06" w:rsidP="00061C1C">
      <w:pPr>
        <w:autoSpaceDE w:val="0"/>
        <w:autoSpaceDN w:val="0"/>
        <w:adjustRightInd w:val="0"/>
        <w:spacing w:after="0" w:line="240" w:lineRule="auto"/>
        <w:jc w:val="both"/>
        <w:rPr>
          <w:rFonts w:ascii="Calibri" w:hAnsi="Calibri" w:cs="Calibri"/>
          <w:color w:val="000000"/>
          <w:kern w:val="0"/>
          <w:sz w:val="18"/>
          <w:szCs w:val="18"/>
        </w:rPr>
      </w:pPr>
    </w:p>
    <w:p w14:paraId="120F3D0D" w14:textId="77777777" w:rsidR="00061C1C" w:rsidRPr="00265BB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B82C5D">
        <w:rPr>
          <w:rFonts w:ascii="Calibri" w:hAnsi="Calibri" w:cs="Calibri"/>
          <w:color w:val="000000"/>
          <w:kern w:val="0"/>
          <w:sz w:val="18"/>
          <w:szCs w:val="18"/>
        </w:rPr>
        <w:t>Ultimo aggiornamento: 20.11.2023</w:t>
      </w:r>
    </w:p>
    <w:p w14:paraId="6DA5C442" w14:textId="77777777" w:rsidR="00061C1C" w:rsidRPr="00265BBD" w:rsidRDefault="00061C1C" w:rsidP="00061C1C">
      <w:pPr>
        <w:jc w:val="both"/>
        <w:rPr>
          <w:sz w:val="18"/>
          <w:szCs w:val="18"/>
        </w:rPr>
      </w:pPr>
    </w:p>
    <w:p w14:paraId="0B66FC16" w14:textId="77777777" w:rsidR="00061C1C" w:rsidRPr="00265BBD" w:rsidRDefault="00061C1C" w:rsidP="00061C1C">
      <w:pPr>
        <w:jc w:val="both"/>
        <w:rPr>
          <w:sz w:val="18"/>
          <w:szCs w:val="18"/>
        </w:rPr>
      </w:pPr>
    </w:p>
    <w:p w14:paraId="08E17EE2" w14:textId="77777777" w:rsidR="00061C1C" w:rsidRPr="00265BBD" w:rsidRDefault="00061C1C" w:rsidP="00061C1C">
      <w:pPr>
        <w:jc w:val="both"/>
        <w:rPr>
          <w:sz w:val="18"/>
          <w:szCs w:val="18"/>
        </w:rPr>
      </w:pPr>
    </w:p>
    <w:p w14:paraId="4DCD61FE" w14:textId="77777777" w:rsidR="00061C1C" w:rsidRPr="00265BBD" w:rsidRDefault="00061C1C" w:rsidP="00061C1C">
      <w:pPr>
        <w:jc w:val="both"/>
        <w:rPr>
          <w:sz w:val="18"/>
          <w:szCs w:val="18"/>
        </w:rPr>
      </w:pPr>
    </w:p>
    <w:p w14:paraId="11244916" w14:textId="77777777" w:rsidR="00836752" w:rsidRDefault="00836752"/>
    <w:sectPr w:rsidR="00836752" w:rsidSect="007E106F">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49563" w14:textId="77777777" w:rsidR="000A1BDC" w:rsidRDefault="000A1BDC" w:rsidP="00061C1C">
      <w:pPr>
        <w:spacing w:after="0" w:line="240" w:lineRule="auto"/>
      </w:pPr>
      <w:r>
        <w:separator/>
      </w:r>
    </w:p>
  </w:endnote>
  <w:endnote w:type="continuationSeparator" w:id="0">
    <w:p w14:paraId="69C32365" w14:textId="77777777" w:rsidR="000A1BDC" w:rsidRDefault="000A1BDC"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04B7B" w14:textId="77777777" w:rsidR="000A1BDC" w:rsidRDefault="000A1BDC" w:rsidP="00061C1C">
      <w:pPr>
        <w:spacing w:after="0" w:line="240" w:lineRule="auto"/>
      </w:pPr>
      <w:r>
        <w:separator/>
      </w:r>
    </w:p>
  </w:footnote>
  <w:footnote w:type="continuationSeparator" w:id="0">
    <w:p w14:paraId="217B7F44" w14:textId="77777777" w:rsidR="000A1BDC" w:rsidRDefault="000A1BDC" w:rsidP="00061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B8F0" w14:textId="7AEC1639" w:rsidR="00800C06" w:rsidRPr="00FE6A25" w:rsidRDefault="00D9697C" w:rsidP="00FE6A25">
    <w:pPr>
      <w:autoSpaceDE w:val="0"/>
      <w:autoSpaceDN w:val="0"/>
      <w:adjustRightInd w:val="0"/>
      <w:jc w:val="center"/>
      <w:rPr>
        <w:rFonts w:cstheme="minorHAnsi"/>
        <w:sz w:val="18"/>
        <w:szCs w:val="18"/>
      </w:rPr>
    </w:pPr>
    <w:r w:rsidRPr="00D5589A">
      <w:rPr>
        <w:rFonts w:cstheme="minorHAnsi"/>
        <w:sz w:val="18"/>
        <w:szCs w:val="18"/>
      </w:rPr>
      <w:t>SR</w:t>
    </w:r>
    <w:r w:rsidR="00BE5FBF">
      <w:rPr>
        <w:rFonts w:cstheme="minorHAnsi"/>
        <w:sz w:val="18"/>
        <w:szCs w:val="18"/>
      </w:rPr>
      <w:t>E</w:t>
    </w:r>
    <w:r w:rsidRPr="00D5589A">
      <w:rPr>
        <w:rFonts w:cstheme="minorHAnsi"/>
        <w:sz w:val="18"/>
        <w:szCs w:val="18"/>
      </w:rPr>
      <w:t>0</w:t>
    </w:r>
    <w:r>
      <w:rPr>
        <w:rFonts w:cstheme="minorHAnsi"/>
        <w:sz w:val="18"/>
        <w:szCs w:val="18"/>
      </w:rPr>
      <w:t>4</w:t>
    </w:r>
    <w:r w:rsidRPr="00D5589A">
      <w:rPr>
        <w:rFonts w:cstheme="minorHAnsi"/>
        <w:sz w:val="18"/>
        <w:szCs w:val="18"/>
      </w:rPr>
      <w:t xml:space="preserve"> -</w:t>
    </w:r>
    <w:r w:rsidR="00BE5FBF" w:rsidRPr="00BE5FBF">
      <w:rPr>
        <w:rFonts w:cstheme="minorHAnsi"/>
        <w:sz w:val="18"/>
        <w:szCs w:val="18"/>
      </w:rPr>
      <w:t>start up non agricole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A1149"/>
    <w:multiLevelType w:val="hybridMultilevel"/>
    <w:tmpl w:val="A0B6D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2"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4" w15:restartNumberingAfterBreak="0">
    <w:nsid w:val="12E33C7E"/>
    <w:multiLevelType w:val="hybridMultilevel"/>
    <w:tmpl w:val="EB4A1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F13AC4"/>
    <w:multiLevelType w:val="hybridMultilevel"/>
    <w:tmpl w:val="70D047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73300E"/>
    <w:multiLevelType w:val="hybridMultilevel"/>
    <w:tmpl w:val="B6E0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9" w15:restartNumberingAfterBreak="0">
    <w:nsid w:val="30D10944"/>
    <w:multiLevelType w:val="hybridMultilevel"/>
    <w:tmpl w:val="4EEE7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856544"/>
    <w:multiLevelType w:val="hybridMultilevel"/>
    <w:tmpl w:val="77F45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12"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13" w15:restartNumberingAfterBreak="0">
    <w:nsid w:val="59A435A2"/>
    <w:multiLevelType w:val="hybridMultilevel"/>
    <w:tmpl w:val="727A4004"/>
    <w:lvl w:ilvl="0" w:tplc="5E4611BA">
      <w:start w:val="1"/>
      <w:numFmt w:val="decimal"/>
      <w:lvlText w:val="%1."/>
      <w:lvlJc w:val="left"/>
      <w:pPr>
        <w:ind w:left="720" w:hanging="360"/>
      </w:pPr>
    </w:lvl>
    <w:lvl w:ilvl="1" w:tplc="704EE34C">
      <w:start w:val="1"/>
      <w:numFmt w:val="decimal"/>
      <w:lvlText w:val="%2."/>
      <w:lvlJc w:val="left"/>
      <w:pPr>
        <w:ind w:left="720" w:hanging="360"/>
      </w:pPr>
    </w:lvl>
    <w:lvl w:ilvl="2" w:tplc="817E405A">
      <w:start w:val="1"/>
      <w:numFmt w:val="decimal"/>
      <w:lvlText w:val="%3."/>
      <w:lvlJc w:val="left"/>
      <w:pPr>
        <w:ind w:left="720" w:hanging="360"/>
      </w:pPr>
    </w:lvl>
    <w:lvl w:ilvl="3" w:tplc="0B784158">
      <w:start w:val="1"/>
      <w:numFmt w:val="decimal"/>
      <w:lvlText w:val="%4."/>
      <w:lvlJc w:val="left"/>
      <w:pPr>
        <w:ind w:left="720" w:hanging="360"/>
      </w:pPr>
    </w:lvl>
    <w:lvl w:ilvl="4" w:tplc="5CD4C6D4">
      <w:start w:val="1"/>
      <w:numFmt w:val="decimal"/>
      <w:lvlText w:val="%5."/>
      <w:lvlJc w:val="left"/>
      <w:pPr>
        <w:ind w:left="720" w:hanging="360"/>
      </w:pPr>
    </w:lvl>
    <w:lvl w:ilvl="5" w:tplc="2C366B14">
      <w:start w:val="1"/>
      <w:numFmt w:val="decimal"/>
      <w:lvlText w:val="%6."/>
      <w:lvlJc w:val="left"/>
      <w:pPr>
        <w:ind w:left="720" w:hanging="360"/>
      </w:pPr>
    </w:lvl>
    <w:lvl w:ilvl="6" w:tplc="6BCA9F3C">
      <w:start w:val="1"/>
      <w:numFmt w:val="decimal"/>
      <w:lvlText w:val="%7."/>
      <w:lvlJc w:val="left"/>
      <w:pPr>
        <w:ind w:left="720" w:hanging="360"/>
      </w:pPr>
    </w:lvl>
    <w:lvl w:ilvl="7" w:tplc="47BA3022">
      <w:start w:val="1"/>
      <w:numFmt w:val="decimal"/>
      <w:lvlText w:val="%8."/>
      <w:lvlJc w:val="left"/>
      <w:pPr>
        <w:ind w:left="720" w:hanging="360"/>
      </w:pPr>
    </w:lvl>
    <w:lvl w:ilvl="8" w:tplc="D5ACE33A">
      <w:start w:val="1"/>
      <w:numFmt w:val="decimal"/>
      <w:lvlText w:val="%9."/>
      <w:lvlJc w:val="left"/>
      <w:pPr>
        <w:ind w:left="720" w:hanging="360"/>
      </w:pPr>
    </w:lvl>
  </w:abstractNum>
  <w:abstractNum w:abstractNumId="14"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DFC4E9B"/>
    <w:multiLevelType w:val="hybridMultilevel"/>
    <w:tmpl w:val="B532F7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3044A5"/>
    <w:multiLevelType w:val="hybridMultilevel"/>
    <w:tmpl w:val="6F325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19"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D4B23CF"/>
    <w:multiLevelType w:val="hybridMultilevel"/>
    <w:tmpl w:val="E1CCD1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17"/>
  </w:num>
  <w:num w:numId="2" w16cid:durableId="1303123475">
    <w:abstractNumId w:val="2"/>
  </w:num>
  <w:num w:numId="3" w16cid:durableId="1910266881">
    <w:abstractNumId w:val="14"/>
  </w:num>
  <w:num w:numId="4" w16cid:durableId="2058776352">
    <w:abstractNumId w:val="15"/>
  </w:num>
  <w:num w:numId="5" w16cid:durableId="631056657">
    <w:abstractNumId w:val="6"/>
  </w:num>
  <w:num w:numId="6" w16cid:durableId="64648487">
    <w:abstractNumId w:val="10"/>
  </w:num>
  <w:num w:numId="7" w16cid:durableId="1934166767">
    <w:abstractNumId w:val="9"/>
  </w:num>
  <w:num w:numId="8" w16cid:durableId="1186947161">
    <w:abstractNumId w:val="4"/>
  </w:num>
  <w:num w:numId="9" w16cid:durableId="1263683145">
    <w:abstractNumId w:val="7"/>
  </w:num>
  <w:num w:numId="10" w16cid:durableId="1158766934">
    <w:abstractNumId w:val="19"/>
  </w:num>
  <w:num w:numId="11" w16cid:durableId="405759748">
    <w:abstractNumId w:val="16"/>
  </w:num>
  <w:num w:numId="12" w16cid:durableId="581064999">
    <w:abstractNumId w:val="20"/>
  </w:num>
  <w:num w:numId="13" w16cid:durableId="179321702">
    <w:abstractNumId w:val="0"/>
  </w:num>
  <w:num w:numId="14" w16cid:durableId="1647275626">
    <w:abstractNumId w:val="5"/>
  </w:num>
  <w:num w:numId="15" w16cid:durableId="1641611636">
    <w:abstractNumId w:val="13"/>
  </w:num>
  <w:num w:numId="16" w16cid:durableId="25915820">
    <w:abstractNumId w:val="1"/>
  </w:num>
  <w:num w:numId="17" w16cid:durableId="1232814029">
    <w:abstractNumId w:val="12"/>
  </w:num>
  <w:num w:numId="18" w16cid:durableId="1610354245">
    <w:abstractNumId w:val="8"/>
  </w:num>
  <w:num w:numId="19" w16cid:durableId="1914511050">
    <w:abstractNumId w:val="18"/>
  </w:num>
  <w:num w:numId="20" w16cid:durableId="246350446">
    <w:abstractNumId w:val="21"/>
  </w:num>
  <w:num w:numId="21" w16cid:durableId="1986424835">
    <w:abstractNumId w:val="11"/>
  </w:num>
  <w:num w:numId="22" w16cid:durableId="19868871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07A7F"/>
    <w:rsid w:val="000111E0"/>
    <w:rsid w:val="00041166"/>
    <w:rsid w:val="00054E6F"/>
    <w:rsid w:val="00061C1C"/>
    <w:rsid w:val="000A1BDC"/>
    <w:rsid w:val="000A390B"/>
    <w:rsid w:val="000E5053"/>
    <w:rsid w:val="000E650C"/>
    <w:rsid w:val="0010005D"/>
    <w:rsid w:val="00111C38"/>
    <w:rsid w:val="0012703E"/>
    <w:rsid w:val="0014029A"/>
    <w:rsid w:val="001A104D"/>
    <w:rsid w:val="001B2477"/>
    <w:rsid w:val="001B4A99"/>
    <w:rsid w:val="001C6774"/>
    <w:rsid w:val="001E01D6"/>
    <w:rsid w:val="00234A0D"/>
    <w:rsid w:val="00256FA3"/>
    <w:rsid w:val="002A2BF9"/>
    <w:rsid w:val="002A628E"/>
    <w:rsid w:val="002F3FE1"/>
    <w:rsid w:val="003305D1"/>
    <w:rsid w:val="003436D3"/>
    <w:rsid w:val="00360733"/>
    <w:rsid w:val="0037408A"/>
    <w:rsid w:val="00385D72"/>
    <w:rsid w:val="004034A6"/>
    <w:rsid w:val="00415EE7"/>
    <w:rsid w:val="0043465A"/>
    <w:rsid w:val="00463DB8"/>
    <w:rsid w:val="0051259D"/>
    <w:rsid w:val="00556906"/>
    <w:rsid w:val="00591BA0"/>
    <w:rsid w:val="005A71AB"/>
    <w:rsid w:val="005B5726"/>
    <w:rsid w:val="0063000F"/>
    <w:rsid w:val="006B3EE0"/>
    <w:rsid w:val="006B7894"/>
    <w:rsid w:val="006D224D"/>
    <w:rsid w:val="006D3D27"/>
    <w:rsid w:val="0071167D"/>
    <w:rsid w:val="0072135F"/>
    <w:rsid w:val="007320EB"/>
    <w:rsid w:val="0073307D"/>
    <w:rsid w:val="007824CA"/>
    <w:rsid w:val="007E106F"/>
    <w:rsid w:val="007F52BC"/>
    <w:rsid w:val="00800C06"/>
    <w:rsid w:val="00823FBE"/>
    <w:rsid w:val="00825433"/>
    <w:rsid w:val="00832BD6"/>
    <w:rsid w:val="00836752"/>
    <w:rsid w:val="008857FD"/>
    <w:rsid w:val="008D57D1"/>
    <w:rsid w:val="008E4A0C"/>
    <w:rsid w:val="008F6DC7"/>
    <w:rsid w:val="0096760E"/>
    <w:rsid w:val="00997CDA"/>
    <w:rsid w:val="009A1A81"/>
    <w:rsid w:val="00A02438"/>
    <w:rsid w:val="00A0247B"/>
    <w:rsid w:val="00A2518F"/>
    <w:rsid w:val="00A3681B"/>
    <w:rsid w:val="00A54D58"/>
    <w:rsid w:val="00A73904"/>
    <w:rsid w:val="00AB7EAD"/>
    <w:rsid w:val="00AE7C3F"/>
    <w:rsid w:val="00B14D36"/>
    <w:rsid w:val="00B55076"/>
    <w:rsid w:val="00B60332"/>
    <w:rsid w:val="00B82C5D"/>
    <w:rsid w:val="00BB3DE8"/>
    <w:rsid w:val="00BB5954"/>
    <w:rsid w:val="00BE14B0"/>
    <w:rsid w:val="00BE5FBF"/>
    <w:rsid w:val="00BE70AB"/>
    <w:rsid w:val="00BF2B6B"/>
    <w:rsid w:val="00C26FE0"/>
    <w:rsid w:val="00C46962"/>
    <w:rsid w:val="00C60CD8"/>
    <w:rsid w:val="00C93F90"/>
    <w:rsid w:val="00CC480B"/>
    <w:rsid w:val="00D50939"/>
    <w:rsid w:val="00D77F25"/>
    <w:rsid w:val="00D95F1A"/>
    <w:rsid w:val="00D9697C"/>
    <w:rsid w:val="00E37948"/>
    <w:rsid w:val="00E45D29"/>
    <w:rsid w:val="00E75E1E"/>
    <w:rsid w:val="00E90C46"/>
    <w:rsid w:val="00E920A9"/>
    <w:rsid w:val="00EB0191"/>
    <w:rsid w:val="00EC204A"/>
    <w:rsid w:val="00EF50A1"/>
    <w:rsid w:val="00F70FDD"/>
    <w:rsid w:val="00FD7E1E"/>
    <w:rsid w:val="00FE6A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character" w:customStyle="1" w:styleId="ListLabel1">
    <w:name w:val="ListLabel 1"/>
    <w:rsid w:val="00A3681B"/>
    <w:rPr>
      <w:rFonts w:cs="Courier New"/>
    </w:rPr>
  </w:style>
  <w:style w:type="paragraph" w:styleId="Testocommento">
    <w:name w:val="annotation text"/>
    <w:basedOn w:val="Normale"/>
    <w:link w:val="TestocommentoCarattere"/>
    <w:uiPriority w:val="99"/>
    <w:unhideWhenUsed/>
    <w:rsid w:val="00C26FE0"/>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C26FE0"/>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8D57D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7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5630</Words>
  <Characters>32093</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dcterms:created xsi:type="dcterms:W3CDTF">2024-12-01T08:02:00Z</dcterms:created>
  <dcterms:modified xsi:type="dcterms:W3CDTF">2024-12-01T08:02:00Z</dcterms:modified>
</cp:coreProperties>
</file>